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Barichara - BAR2 HN</w:t>
        <w:br/>
        <w:br/>
      </w:r>
      <w:r>
        <w:rPr>
          <w:b/>
        </w:rPr>
        <w:t xml:space="preserve">Departamento: </w:t>
      </w:r>
      <w:r>
        <w:t>Santander</w:t>
      </w:r>
      <w:r>
        <w:rPr>
          <w:b/>
        </w:rPr>
        <w:t xml:space="preserve">  |  Municipio: </w:t>
      </w:r>
      <w:r>
        <w:t>Barichara</w:t>
        <w:br/>
      </w:r>
      <w:r>
        <w:rPr>
          <w:b/>
        </w:rPr>
        <w:t xml:space="preserve">Coordenadas de la estación: </w:t>
      </w:r>
      <w:r>
        <w:t xml:space="preserve"> Lat. 6.592, Lon. -73.184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2018-07-31 21:45:00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85.81%</w:t>
        <w:br/>
      </w:r>
      <w:r>
        <w:t>N    |    mínimo: 0.0%,    máximo: 100.0%,    promedio: 85.81%</w:t>
        <w:br/>
      </w:r>
      <w:r>
        <w:t>E    |    mínimo: 0.0%,    máximo: 100.0%,    promedio: 85.81%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AR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AR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AR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BAR2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160,    máximo: 73,    promedio: 0.86</w:t>
        <w:br/>
      </w:r>
      <w:r>
        <w:t>N    |    número de gaps: 163,    máximo: 73,    promedio: 0.88</w:t>
        <w:br/>
      </w:r>
      <w:r>
        <w:t>E    |    número de gaps: 160,    máximo: 71,    promedio: 0.86</w:t>
        <w:br/>
        <w:br/>
      </w:r>
      <w:r>
        <w:rPr>
          <w:b/>
        </w:rPr>
        <w:t>Overlaps</w:t>
        <w:br/>
      </w:r>
      <w:r>
        <w:t>Z    |    número de overlaps: 39,    máximo: 5,    promedio: 0.21</w:t>
        <w:br/>
      </w:r>
      <w:r>
        <w:t>N    |    número de overlaps: 39,    máximo: 5,    promedio: 0.21</w:t>
        <w:br/>
      </w:r>
      <w:r>
        <w:t>E    |    número de overlaps: 39,    máximo: 5,    promedio: 0.21</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BAR2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BAR2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BAR2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BAR2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8214.7,    promedio: 4327.65</w:t>
        <w:br/>
      </w:r>
      <w:r>
        <w:t>N    |    mínimo: -9.0,    máximo: 5713.9,    promedio: 1338.23</w:t>
        <w:br/>
      </w:r>
      <w:r>
        <w:t>E    |    mínimo: -232.6,    máximo: 5175.3,    promedio: 2694.7</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BAR2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BAR2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BAR2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BAR2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54.88,    número de picos: 1.0,    máximo de picos: 1.0</w:t>
        <w:br/>
      </w:r>
      <w:r>
        <w:t>N    |    promedio %ppsd: 45.66,    número de picos: 19.0,    máximo de picos: 2.0</w:t>
        <w:br/>
      </w:r>
      <w:r>
        <w:t>E    |    promedio %ppsd: 44.22,    número de picos: 18.0,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BAR2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BAR2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BAR2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BAR2 en sus tres componentes.</w:t>
        <w:br/>
        <w:br/>
      </w:r>
      <w:r>
        <w:rPr>
          <w:b/>
          <w:sz w:val="24"/>
        </w:rPr>
        <w:t>Espectro</w:t>
        <w:br/>
        <w:br/>
      </w:r>
      <w:r>
        <w:t xml:space="preserve"> </w:t>
        <w:br/>
        <w:br/>
        <w:br/>
        <w:br/>
      </w:r>
      <w:r>
        <w:rPr>
          <w:b/>
          <w:sz w:val="24"/>
        </w:rPr>
        <w:br/>
        <w:t>3. Última visita</w:t>
        <w:br/>
        <w:br/>
      </w:r>
      <w:r>
        <w:t xml:space="preserve">La última visita a la estación fue el 2023-09-14 por Johnnatan Fernandez realizando  mantenimiento correctivo, se retira sismómetro ref tek colt serie 193032 y código bidimensional 057008 por otro sismómetro de la misma marca y modelo con serie 193037 y código bidimensional 057011. </w:t>
        <w:br/>
        <w:br/>
        <w:t xml:space="preserve">se realizan pruebas al sismómetro nuevo instalado. </w:t>
        <w:br/>
        <w:br/>
        <w:t xml:space="preserve">se instalan 4 paneles solares de 240w y regulador solar morningstar ts-mppt-60 con serie no. 19380457 </w:t>
        <w:br/>
        <w:br/>
        <w:t>se realizan labores de desyerbe y limpieza en los alrededores de la caseta, la antena satelital y el bunker</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BAR2 | Semestre 2023-II</w:t>
          </w:r>
        </w:p>
      </w:tc>
      <w:tc>
        <w:tcPr>
          <w:tcW w:type="dxa" w:w="3402"/>
        </w:tcPr>
        <w:p/>
        <w:p>
          <w:r>
            <w:t xml:space="preserve">Sismología </w:t>
            <w:br/>
            <w:t>Por: Patricia Pedraza</w:t>
            <w:br/>
            <w:t>Fecha: 2024/01/17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