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Bogota, Sgc - BOG HN</w:t>
        <w:br/>
        <w:br/>
      </w:r>
      <w:r>
        <w:rPr>
          <w:b/>
        </w:rPr>
        <w:t xml:space="preserve">Departamento: </w:t>
      </w:r>
      <w:r>
        <w:t>Bogotá D.C.</w:t>
      </w:r>
      <w:r>
        <w:rPr>
          <w:b/>
        </w:rPr>
        <w:t xml:space="preserve">  |  Municipio: </w:t>
      </w:r>
      <w:r>
        <w:t>Bogotá, D.C.</w:t>
        <w:br/>
      </w:r>
      <w:r>
        <w:rPr>
          <w:b/>
        </w:rPr>
        <w:t xml:space="preserve">Tipo de transmisión: </w:t>
      </w:r>
      <w:r>
        <w:t>Internet</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- 11 </w:t>
      </w:r>
      <w:r>
        <w:br/>
      </w:r>
      <w:r>
        <w:rPr>
          <w:b/>
        </w:rPr>
        <w:t xml:space="preserve">Sensor y digitalizador: </w:t>
      </w:r>
      <w:r>
        <w:t>Episensor, DC to &gt;200 Hz,  20V differential full s</w:t>
        <w:br/>
      </w:r>
      <w:r>
        <w:rPr>
          <w:b/>
        </w:rPr>
        <w:t xml:space="preserve">Fecha inicio: </w:t>
      </w:r>
      <w:r>
        <w:t>2017-08-25 00:00:00</w:t>
      </w:r>
      <w:r>
        <w:rPr>
          <w:b/>
        </w:rPr>
        <w:t xml:space="preserve">  |  Fecha fin: </w:t>
      </w:r>
      <w:r>
        <w:t>nan</w:t>
        <w:br/>
        <w:br/>
        <w:br/>
        <w:br/>
      </w:r>
      <w:r>
        <w:rPr>
          <w:b/>
          <w:sz w:val="28"/>
        </w:rPr>
        <w:t>1. Funcionamiento</w:t>
        <w:br/>
        <w:br/>
      </w:r>
      <w:r>
        <w:t xml:space="preserve"> </w:t>
        <w:br/>
        <w:br/>
      </w:r>
      <w:r>
        <w:rPr>
          <w:b/>
          <w:sz w:val="28"/>
        </w:rPr>
        <w:t>1.1 Disponibilidad</w:t>
        <w:br/>
        <w:br/>
      </w:r>
      <w:r>
        <w:t xml:space="preserve"> </w:t>
      </w:r>
    </w:p>
    <w:p>
      <w:r>
        <w:br w:type="page"/>
      </w:r>
    </w:p>
    <w:p>
      <w: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OG_HNZ11.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OG_HNN11.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OG_HNE11.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BOG en sus tres componentes.</w:t>
        <w:br/>
        <w:br/>
      </w:r>
      <w:r>
        <w:rPr>
          <w:b/>
        </w:rPr>
        <w:t>Comportamiento de disponibilidad en el semestre para las tres componentes</w:t>
        <w:br/>
        <w:br/>
      </w:r>
      <w:r>
        <w:t>Z    |    mínimo: 0.0%,    máximo: 100.0%,    promedio: 88.82%</w:t>
        <w:br/>
      </w:r>
      <w:r>
        <w:t>N    |    mínimo: 0.0%,    máximo: 100.0%,    promedio: 88.82%</w:t>
        <w:br/>
      </w:r>
      <w:r>
        <w:t>E    |    mínimo: 0.0%,    máximo: 100.0%,    promedio: 88.82%</w:t>
        <w:br/>
        <w:br/>
      </w:r>
      <w:r>
        <w:rPr>
          <w:b/>
          <w:sz w:val="28"/>
        </w:rPr>
        <w:t>1.2 Gaps y Overlaps</w:t>
        <w:br/>
        <w:br/>
      </w:r>
      <w:r>
        <w:t xml:space="preserve"> </w:t>
      </w:r>
    </w:p>
    <w:p>
      <w:r>
        <w:br w:type="page"/>
      </w:r>
    </w:p>
    <w:p>
      <w: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BOG_HNZ11.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BOG_HNN11.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BOG_HNE11.png"/>
                    <pic:cNvPicPr/>
                  </pic:nvPicPr>
                  <pic:blipFill>
                    <a:blip r:embed="rId15"/>
                    <a:stretch>
                      <a:fillRect/>
                    </a:stretch>
                  </pic:blipFill>
                  <pic:spPr>
                    <a:xfrm>
                      <a:off x="0" y="0"/>
                      <a:ext cx="5943600" cy="1468026"/>
                    </a:xfrm>
                    <a:prstGeom prst="rect"/>
                  </pic:spPr>
                </pic:pic>
              </a:graphicData>
            </a:graphic>
          </wp:inline>
        </w:drawing>
      </w:r>
      <w:r>
        <w:rPr>
          <w:b/>
        </w:rPr>
        <w:t xml:space="preserve">  Figura 2.</w:t>
      </w:r>
      <w:r>
        <w:t xml:space="preserve">  Gráfica de gap y overlaps en los datos de la estación BOG en sus tres componentes.</w:t>
        <w:br/>
        <w:br/>
      </w:r>
      <w:r>
        <w:rPr>
          <w:b/>
        </w:rPr>
        <w:t>Comportamiento de gaps y overlaps en el semestre para las tres componentes</w:t>
        <w:br/>
        <w:br/>
      </w:r>
      <w:r>
        <w:rPr>
          <w:b/>
        </w:rPr>
        <w:t>Gaps</w:t>
        <w:br/>
      </w:r>
      <w:r>
        <w:t>Z    |    número de gaps: 29,    máximo: 3,    promedio: 0.16</w:t>
        <w:br/>
      </w:r>
      <w:r>
        <w:t>N    |    número de gaps: 29,    máximo: 3,    promedio: 0.16</w:t>
        <w:br/>
      </w:r>
      <w:r>
        <w:t>E    |    número de gaps: 29,    máximo: 3,    promedio: 0.16</w:t>
        <w:br/>
        <w:br/>
      </w:r>
      <w:r>
        <w:rPr>
          <w:b/>
        </w:rPr>
        <w:t>Overlaps</w:t>
        <w:br/>
      </w:r>
      <w:r>
        <w:t>Z    |    número de overlaps: 39,    máximo: 3,    promedio: 0.22</w:t>
        <w:br/>
      </w:r>
      <w:r>
        <w:t>N    |    número de overlaps: 39,    máximo: 3,    promedio: 0.22</w:t>
        <w:br/>
      </w:r>
      <w:r>
        <w:t>E    |    número de overlaps: 39,    máximo: 3,    promedio: 0.22</w:t>
        <w:br/>
        <w:br/>
      </w:r>
      <w:r>
        <w:rPr>
          <w:b/>
          <w:sz w:val="28"/>
        </w:rPr>
        <w:t>2. Calidad</w:t>
        <w:br/>
        <w:br/>
      </w:r>
      <w:r>
        <w:t xml:space="preserve"> </w:t>
        <w:br/>
        <w:br/>
      </w:r>
      <w:r>
        <w:rPr>
          <w:b/>
          <w:sz w:val="28"/>
        </w:rPr>
        <w:t>2.1 Offset</w:t>
        <w:br/>
        <w:br/>
      </w:r>
      <w:r>
        <w:t xml:space="preserve"> </w:t>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BOG_HNZ11.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13613"/>
            <wp:docPr id="8" name="Picture 8"/>
            <wp:cNvGraphicFramePr>
              <a:graphicFrameLocks noChangeAspect="1"/>
            </wp:cNvGraphicFramePr>
            <a:graphic>
              <a:graphicData uri="http://schemas.openxmlformats.org/drawingml/2006/picture">
                <pic:pic>
                  <pic:nvPicPr>
                    <pic:cNvPr id="0" name="offset_BOG_HNN11.png"/>
                    <pic:cNvPicPr/>
                  </pic:nvPicPr>
                  <pic:blipFill>
                    <a:blip r:embed="rId17"/>
                    <a:stretch>
                      <a:fillRect/>
                    </a:stretch>
                  </pic:blipFill>
                  <pic:spPr>
                    <a:xfrm>
                      <a:off x="0" y="0"/>
                      <a:ext cx="5943600" cy="1413613"/>
                    </a:xfrm>
                    <a:prstGeom prst="rect"/>
                  </pic:spPr>
                </pic:pic>
              </a:graphicData>
            </a:graphic>
          </wp:inline>
        </w:drawing>
        <w:drawing>
          <wp:inline xmlns:a="http://schemas.openxmlformats.org/drawingml/2006/main" xmlns:pic="http://schemas.openxmlformats.org/drawingml/2006/picture">
            <wp:extent cx="5943600" cy="1413613"/>
            <wp:docPr id="9" name="Picture 9"/>
            <wp:cNvGraphicFramePr>
              <a:graphicFrameLocks noChangeAspect="1"/>
            </wp:cNvGraphicFramePr>
            <a:graphic>
              <a:graphicData uri="http://schemas.openxmlformats.org/drawingml/2006/picture">
                <pic:pic>
                  <pic:nvPicPr>
                    <pic:cNvPr id="0" name="offset_BOG_HNE11.png"/>
                    <pic:cNvPicPr/>
                  </pic:nvPicPr>
                  <pic:blipFill>
                    <a:blip r:embed="rId18"/>
                    <a:stretch>
                      <a:fillRect/>
                    </a:stretch>
                  </pic:blipFill>
                  <pic:spPr>
                    <a:xfrm>
                      <a:off x="0" y="0"/>
                      <a:ext cx="5943600" cy="1413613"/>
                    </a:xfrm>
                    <a:prstGeom prst="rect"/>
                  </pic:spPr>
                </pic:pic>
              </a:graphicData>
            </a:graphic>
          </wp:inline>
        </w:drawing>
        <w:br/>
      </w:r>
      <w:r>
        <w:rPr>
          <w:b/>
        </w:rPr>
        <w:t xml:space="preserve">  Figura 3.</w:t>
      </w:r>
      <w:r>
        <w:t xml:space="preserve">  Gráfica de offset en los datos de la estación BOG en sus tres componentes.</w:t>
        <w:br/>
        <w:br/>
      </w:r>
      <w:r>
        <w:rPr>
          <w:b/>
        </w:rPr>
        <w:t>Comportamiento de offset en el semestre para las tres componentes</w:t>
        <w:br/>
        <w:br/>
      </w:r>
      <w:r>
        <w:t>Z    |    mínimo: -78339.5,    máximo: -77827.2,    promedio: -78125.97</w:t>
        <w:br/>
      </w:r>
      <w:r>
        <w:t>N    |    mínimo: 124314.6,    máximo: 126651.8,    promedio: 125426.56</w:t>
        <w:br/>
      </w:r>
      <w:r>
        <w:t>E    |    mínimo: 121110.3,    máximo: 124527.3,    promedio: 123697.17</w:t>
        <w:br/>
        <w:br/>
      </w:r>
      <w:r>
        <w:rPr>
          <w:b/>
          <w:sz w:val="28"/>
        </w:rPr>
        <w:t>2.2 Análisis de ruido</w:t>
        <w:br/>
        <w:br/>
      </w:r>
      <w:r>
        <w:t xml:space="preserve"> </w:t>
        <w:br/>
        <w:br/>
      </w:r>
      <w:r>
        <w:rPr>
          <w:b/>
          <w:sz w:val="28"/>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BOG_HNZ11.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BOG_HNN11.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BOG_HNE11.png"/>
                    <pic:cNvPicPr/>
                  </pic:nvPicPr>
                  <pic:blipFill>
                    <a:blip r:embed="rId21"/>
                    <a:stretch>
                      <a:fillRect/>
                    </a:stretch>
                  </pic:blipFill>
                  <pic:spPr>
                    <a:xfrm>
                      <a:off x="0" y="0"/>
                      <a:ext cx="5943600" cy="1395296"/>
                    </a:xfrm>
                    <a:prstGeom prst="rect"/>
                  </pic:spPr>
                </pic:pic>
              </a:graphicData>
            </a:graphic>
          </wp:inline>
        </w:drawing>
      </w:r>
      <w:r>
        <w:rPr>
          <w:b/>
        </w:rPr>
        <w:t xml:space="preserve">  Figura 4.</w:t>
      </w:r>
      <w:r>
        <w:t xml:space="preserve"> Gráfica de %ppsd y picos en los datos de la estación BOG en sus tres componentes.</w:t>
        <w:br/>
        <w:br/>
      </w:r>
      <w:r>
        <w:rPr>
          <w:b/>
        </w:rPr>
        <w:t>Comportamiento del %ppsd y picos en el semestre para las tres componentes.</w:t>
        <w:br/>
        <w:br/>
      </w:r>
      <w:r>
        <w:t>Z    |    promedio %ppsd: 43.7,    número de picos: 7,    máximo de picos: 2</w:t>
        <w:br/>
      </w:r>
      <w:r>
        <w:t>N    |    promedio %ppsd: 44.51,    número de picos: 7,    máximo de picos: 1</w:t>
        <w:br/>
      </w:r>
      <w:r>
        <w:t>E    |    promedio %ppsd: 44.04,    número de picos: 6,    máximo de picos: 2</w:t>
        <w:br/>
        <w:br/>
      </w:r>
      <w:r>
        <w:rPr>
          <w:b/>
          <w:sz w:val="28"/>
        </w:rPr>
        <w:t>Espectro</w:t>
        <w:br/>
        <w:br/>
        <w:br/>
        <w:br/>
      </w:r>
      <w:r>
        <w:rPr>
          <w:b/>
          <w:sz w:val="28"/>
        </w:rPr>
        <w:br/>
        <w:t>3. Última visita</w:t>
        <w:br/>
        <w:br/>
      </w:r>
      <w:r>
        <w:t xml:space="preserve">La última visita a la estación fue el  por  realizando  , </w:t>
        <w:br/>
        <w:br/>
        <w:br/>
        <w:br/>
      </w:r>
      <w:r>
        <w:rPr>
          <w:b/>
          <w:sz w:val="28"/>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BOG | Semestre 2023-I</w:t>
          </w:r>
        </w:p>
      </w:tc>
      <w:tc>
        <w:tcPr>
          <w:tcW w:type="dxa" w:w="3402"/>
        </w:tcPr>
        <w:p/>
        <w:p>
          <w:r>
            <w:t xml:space="preserve">Sismología </w:t>
            <w:br/>
            <w:t>Por: Fernando Garzon</w:t>
            <w:br/>
            <w:t xml:space="preserve">Fecha: 2023/07/14 </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