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Colombia - CLBC EH</w:t>
        <w:br/>
        <w:br/>
      </w:r>
      <w:r>
        <w:rPr>
          <w:b/>
        </w:rPr>
        <w:t xml:space="preserve">Departamento: </w:t>
      </w:r>
      <w:r>
        <w:t>Huila</w:t>
      </w:r>
      <w:r>
        <w:rPr>
          <w:b/>
        </w:rPr>
        <w:t xml:space="preserve">  |  Municipio: </w:t>
      </w:r>
      <w:r>
        <w:t>Colombia</w:t>
        <w:br/>
      </w:r>
      <w:r>
        <w:rPr>
          <w:b/>
        </w:rPr>
        <w:t xml:space="preserve">Coordenadas de la estación: </w:t>
      </w:r>
      <w:r>
        <w:t xml:space="preserve"> Lat. 3.378, Lon. -74.801</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GS-1LF, 1 s, 365.3 V/m/s-Q330SR, gain 1, 100 sps,</w:t>
        <w:br/>
      </w:r>
      <w:r>
        <w:rPr>
          <w:b/>
        </w:rPr>
        <w:t xml:space="preserve">Fecha inicio: </w:t>
      </w:r>
      <w:r>
        <w:t>2019-02-08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br/>
      </w:r>
    </w:p>
    <w:p>
      <w:r>
        <w:rPr>
          <w:b/>
        </w:rPr>
        <w:t>Comportamiento de disponibilidad en el semestre para la componente Z</w:t>
        <w:br/>
        <w:br/>
      </w:r>
      <w:r>
        <w:t>Z    |    mínimo: 0.0%,    máximo: 100.0%,    promedio: 60.99%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LBC_EHZ.png"/>
                    <pic:cNvPicPr/>
                  </pic:nvPicPr>
                  <pic:blipFill>
                    <a:blip r:embed="rId10"/>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CLBC en la componente Z.</w:t>
        <w:br/>
        <w:br/>
      </w:r>
      <w:r>
        <w:rPr>
          <w:b/>
          <w:sz w:val="24"/>
        </w:rPr>
        <w:t>1.2 Gaps y Overlaps</w:t>
        <w:br/>
        <w:br/>
      </w:r>
      <w:r>
        <w:t xml:space="preserve"> </w:t>
        <w:br/>
        <w:br/>
      </w:r>
    </w:p>
    <w:p>
      <w:r>
        <w:rPr>
          <w:b/>
        </w:rPr>
        <w:t>Comportamiento de gaps y overlaps en el semestre para la componente Z</w:t>
        <w:br/>
        <w:br/>
      </w:r>
      <w:r>
        <w:rPr>
          <w:b/>
        </w:rPr>
        <w:t>Gaps</w:t>
        <w:br/>
      </w:r>
      <w:r>
        <w:t>Z    |    número de gaps: 1282,    máximo: 26,    promedio: 7.08</w:t>
        <w:br/>
        <w:br/>
      </w:r>
      <w:r>
        <w:rPr>
          <w:b/>
        </w:rPr>
        <w:t>Overlaps</w:t>
        <w:br/>
      </w:r>
      <w:r>
        <w:t>Z    |    número de overlaps: 469,    máximo: 16,    promedio: 2.59</w:t>
        <w:br/>
        <w:br/>
      </w:r>
    </w:p>
    <w:p>
      <w:r>
        <w:br/>
        <w:drawing>
          <wp:inline xmlns:a="http://schemas.openxmlformats.org/drawingml/2006/main" xmlns:pic="http://schemas.openxmlformats.org/drawingml/2006/picture">
            <wp:extent cx="5943600" cy="1457507"/>
            <wp:docPr id="2" name="Picture 2"/>
            <wp:cNvGraphicFramePr>
              <a:graphicFrameLocks noChangeAspect="1"/>
            </wp:cNvGraphicFramePr>
            <a:graphic>
              <a:graphicData uri="http://schemas.openxmlformats.org/drawingml/2006/picture">
                <pic:pic>
                  <pic:nvPicPr>
                    <pic:cNvPr id="0" name="gapover_CLBC_EHZ.png"/>
                    <pic:cNvPicPr/>
                  </pic:nvPicPr>
                  <pic:blipFill>
                    <a:blip r:embed="rId11"/>
                    <a:stretch>
                      <a:fillRect/>
                    </a:stretch>
                  </pic:blipFill>
                  <pic:spPr>
                    <a:xfrm>
                      <a:off x="0" y="0"/>
                      <a:ext cx="5943600" cy="1457507"/>
                    </a:xfrm>
                    <a:prstGeom prst="rect"/>
                  </pic:spPr>
                </pic:pic>
              </a:graphicData>
            </a:graphic>
          </wp:inline>
        </w:drawing>
      </w:r>
      <w:r>
        <w:rPr>
          <w:b/>
          <w:sz w:val="18"/>
        </w:rPr>
        <w:t xml:space="preserve">  Figura 2. </w:t>
      </w:r>
      <w:r>
        <w:rPr>
          <w:sz w:val="18"/>
        </w:rPr>
        <w:t xml:space="preserve"> Gráfica de gap y overlaps en los datos de la estación CLBC en la componente Z.</w:t>
        <w:br/>
        <w:br/>
      </w:r>
      <w:r>
        <w:rPr>
          <w:b/>
          <w:sz w:val="24"/>
        </w:rPr>
        <w:t>2. Calidad</w:t>
        <w:br/>
        <w:br/>
      </w:r>
      <w:r>
        <w:t xml:space="preserve"> </w:t>
        <w:br/>
      </w:r>
      <w:r>
        <w:rPr>
          <w:b/>
          <w:sz w:val="24"/>
        </w:rPr>
        <w:t>2.1 Offset</w:t>
        <w:br/>
        <w:br/>
      </w:r>
      <w:r>
        <w:t xml:space="preserve"> </w:t>
        <w:br/>
        <w:br/>
      </w:r>
      <w:r>
        <w:rPr>
          <w:b/>
        </w:rPr>
        <w:t>Comportamiento de offset en el semestre para las tres componentes</w:t>
        <w:br/>
        <w:br/>
      </w:r>
      <w:r>
        <w:t>Z    |    mínimo: 7.6,    máximo: 122.9,    promedio: 75.58</w:t>
        <w:br/>
      </w:r>
      <w:r>
        <w:br/>
        <w:drawing>
          <wp:inline xmlns:a="http://schemas.openxmlformats.org/drawingml/2006/main" xmlns:pic="http://schemas.openxmlformats.org/drawingml/2006/picture">
            <wp:extent cx="5943600" cy="1472750"/>
            <wp:docPr id="3" name="Picture 3"/>
            <wp:cNvGraphicFramePr>
              <a:graphicFrameLocks noChangeAspect="1"/>
            </wp:cNvGraphicFramePr>
            <a:graphic>
              <a:graphicData uri="http://schemas.openxmlformats.org/drawingml/2006/picture">
                <pic:pic>
                  <pic:nvPicPr>
                    <pic:cNvPr id="0" name="offset_CLBC_EHZ.png"/>
                    <pic:cNvPicPr/>
                  </pic:nvPicPr>
                  <pic:blipFill>
                    <a:blip r:embed="rId12"/>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CLBC en la componente Z.</w:t>
        <w:br/>
        <w:br/>
      </w:r>
      <w:r>
        <w:rPr>
          <w:b/>
        </w:rPr>
        <w:t>Comportamiento de offset en el semestre para la componente Z</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 componente Z.</w:t>
        <w:br/>
        <w:br/>
      </w:r>
      <w:r>
        <w:t>Z    |    promedio %ppsd: 34.63,    número de picos: 120,    máximo de picos: 3</w:t>
        <w:br/>
        <w:br/>
      </w:r>
      <w:r>
        <w:drawing>
          <wp:inline xmlns:a="http://schemas.openxmlformats.org/drawingml/2006/main" xmlns:pic="http://schemas.openxmlformats.org/drawingml/2006/picture">
            <wp:extent cx="5943600" cy="1409260"/>
            <wp:docPr id="4" name="Picture 4"/>
            <wp:cNvGraphicFramePr>
              <a:graphicFrameLocks noChangeAspect="1"/>
            </wp:cNvGraphicFramePr>
            <a:graphic>
              <a:graphicData uri="http://schemas.openxmlformats.org/drawingml/2006/picture">
                <pic:pic>
                  <pic:nvPicPr>
                    <pic:cNvPr id="0" name="ppsd_CLBC_EHZ.png"/>
                    <pic:cNvPicPr/>
                  </pic:nvPicPr>
                  <pic:blipFill>
                    <a:blip r:embed="rId13"/>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CLBC en la componente Z.</w:t>
        <w:br/>
        <w:br/>
      </w:r>
      <w:r>
        <w:rPr>
          <w:b/>
          <w:sz w:val="24"/>
        </w:rPr>
        <w:t>Espectro</w:t>
        <w:br/>
        <w:br/>
      </w:r>
      <w:r>
        <w:t xml:space="preserve"> </w:t>
        <w:br/>
        <w:br/>
        <w:br/>
        <w:br/>
      </w:r>
      <w:r>
        <w:rPr>
          <w:b/>
          <w:sz w:val="24"/>
        </w:rPr>
        <w:br/>
        <w:t>3. Última visita</w:t>
        <w:br/>
        <w:br/>
      </w:r>
      <w:r>
        <w:t>La última visita a la estación fue el 2023-04-18 por Andres Felipe Gomez realizando  mantenimiento correctivo, se limpian los paneles solares y se  instalan 4 adicionales cod. 051848, 051849, 052853, 051856, se cambia bateria danada, se verifican conexiones electricas.</w:t>
        <w:br/>
        <w:br/>
        <w:br/>
        <w:br/>
      </w:r>
      <w:r>
        <w:rPr>
          <w:b/>
          <w:sz w:val="24"/>
        </w:rPr>
        <w:t>4. Recomendaciones</w:t>
        <w:br/>
        <w:br/>
      </w:r>
      <w:r>
        <w:t xml:space="preserve"> </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CLBC | Semestre 2023-I</w:t>
          </w:r>
        </w:p>
      </w:tc>
      <w:tc>
        <w:tcPr>
          <w:tcW w:type="dxa" w:w="3402"/>
        </w:tcPr>
        <w:p/>
        <w:p>
          <w:r>
            <w:t xml:space="preserve">Sismología </w:t>
            <w:br/>
            <w:t>Por: Luisa Castillo</w:t>
            <w:br/>
            <w:t>Fecha: 2023/08/03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