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Colombia - CLBC EH</w:t>
        <w:br/>
        <w:br/>
      </w:r>
      <w:r>
        <w:rPr>
          <w:b/>
        </w:rPr>
        <w:t xml:space="preserve">Departamento: </w:t>
      </w:r>
      <w:r>
        <w:t>Huila</w:t>
      </w:r>
      <w:r>
        <w:rPr>
          <w:b/>
        </w:rPr>
        <w:t xml:space="preserve">  |  Municipio: </w:t>
      </w:r>
      <w:r>
        <w:t>Colombia</w:t>
        <w:br/>
      </w:r>
      <w:r>
        <w:rPr>
          <w:b/>
        </w:rPr>
        <w:t xml:space="preserve">Coordenadas de la estación: </w:t>
      </w:r>
      <w:r>
        <w:t xml:space="preserve"> Lat. 3.378, Lon. -74.801</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corto periodo - 20 </w:t>
      </w:r>
      <w:r>
        <w:br/>
      </w:r>
      <w:r>
        <w:rPr>
          <w:b/>
        </w:rPr>
        <w:t xml:space="preserve">Sensor y digitalizador: </w:t>
      </w:r>
      <w:r>
        <w:t>GS-1LF, 1 s, 365.3 V/m/s-Q330SR, gain 1, 100 sps,</w:t>
        <w:br/>
      </w:r>
      <w:r>
        <w:rPr>
          <w:b/>
        </w:rPr>
        <w:t xml:space="preserve">Fecha inicio: </w:t>
      </w:r>
      <w:r>
        <w:t>2019-02-08 00:00:00</w:t>
      </w:r>
      <w:r>
        <w:rPr>
          <w:b/>
        </w:rPr>
        <w:t xml:space="preserve">  |  Fecha fin: </w:t>
      </w:r>
      <w:r>
        <w:t>2599-12-31 23:59:59</w:t>
        <w:br/>
        <w:br/>
        <w:br/>
        <w:br/>
      </w:r>
      <w:r>
        <w:rPr>
          <w:b/>
          <w:sz w:val="24"/>
        </w:rPr>
        <w:t>1. Funcionamiento</w:t>
        <w:br/>
        <w:br/>
      </w:r>
      <w:r>
        <w:t>La estación presentó fallos en sistema de energía presentando un corte en octubre y desconexión permanente desde el 15 de noviembre por problemas de baterías.</w:t>
        <w:br/>
        <w:br/>
      </w:r>
      <w:r>
        <w:rPr>
          <w:b/>
          <w:sz w:val="24"/>
        </w:rPr>
        <w:t>1.1 Disponibilidad</w:t>
        <w:br/>
        <w:br/>
      </w:r>
      <w:r>
        <w:t>La disponibilidad general de la estación fue del 30%</w:t>
        <w:br/>
        <w:br/>
      </w:r>
    </w:p>
    <w:p>
      <w:r>
        <w:rPr>
          <w:b/>
        </w:rPr>
        <w:t>Comportamiento de disponibilidad en el semestre para la componente Z</w:t>
        <w:br/>
        <w:br/>
      </w:r>
      <w:r>
        <w:t>Z    |    mínimo: 0.0%,    máximo: 100.0%,    promedio: 30.41%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LBC_EHZ.png"/>
                    <pic:cNvPicPr/>
                  </pic:nvPicPr>
                  <pic:blipFill>
                    <a:blip r:embed="rId10"/>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CLBC en la componente Z.</w:t>
        <w:br/>
        <w:br/>
      </w:r>
      <w:r>
        <w:rPr>
          <w:b/>
          <w:sz w:val="24"/>
        </w:rPr>
        <w:t>1.2 Gaps y Overlaps</w:t>
        <w:br/>
        <w:br/>
      </w:r>
      <w:r>
        <w:t>En los períodos que estuvo funcional, presentó cortes y overlaps.</w:t>
        <w:br/>
        <w:br/>
      </w:r>
    </w:p>
    <w:p>
      <w:r>
        <w:rPr>
          <w:b/>
        </w:rPr>
        <w:t>Comportamiento de gaps y overlaps en el semestre para la componente Z</w:t>
        <w:br/>
        <w:br/>
      </w:r>
      <w:r>
        <w:rPr>
          <w:b/>
        </w:rPr>
        <w:t>Gaps</w:t>
        <w:br/>
      </w:r>
      <w:r>
        <w:t>Z    |    número de gaps: 196,    máximo: 21,    promedio: 1.13</w:t>
        <w:br/>
        <w:br/>
      </w:r>
      <w:r>
        <w:rPr>
          <w:b/>
        </w:rPr>
        <w:t>Overlaps</w:t>
        <w:br/>
      </w:r>
      <w:r>
        <w:t>Z    |    número de overlaps: 110,    máximo: 21,    promedio: 0.63</w:t>
        <w:br/>
        <w:br/>
      </w:r>
    </w:p>
    <w:p>
      <w:r>
        <w:br/>
        <w:drawing>
          <wp:inline xmlns:a="http://schemas.openxmlformats.org/drawingml/2006/main" xmlns:pic="http://schemas.openxmlformats.org/drawingml/2006/picture">
            <wp:extent cx="5943600" cy="1457507"/>
            <wp:docPr id="2" name="Picture 2"/>
            <wp:cNvGraphicFramePr>
              <a:graphicFrameLocks noChangeAspect="1"/>
            </wp:cNvGraphicFramePr>
            <a:graphic>
              <a:graphicData uri="http://schemas.openxmlformats.org/drawingml/2006/picture">
                <pic:pic>
                  <pic:nvPicPr>
                    <pic:cNvPr id="0" name="gapover_CLBC_EHZ.png"/>
                    <pic:cNvPicPr/>
                  </pic:nvPicPr>
                  <pic:blipFill>
                    <a:blip r:embed="rId11"/>
                    <a:stretch>
                      <a:fillRect/>
                    </a:stretch>
                  </pic:blipFill>
                  <pic:spPr>
                    <a:xfrm>
                      <a:off x="0" y="0"/>
                      <a:ext cx="5943600" cy="1457507"/>
                    </a:xfrm>
                    <a:prstGeom prst="rect"/>
                  </pic:spPr>
                </pic:pic>
              </a:graphicData>
            </a:graphic>
          </wp:inline>
        </w:drawing>
      </w:r>
      <w:r>
        <w:rPr>
          <w:b/>
          <w:sz w:val="18"/>
        </w:rPr>
        <w:t xml:space="preserve">  Figura 2. </w:t>
      </w:r>
      <w:r>
        <w:rPr>
          <w:sz w:val="18"/>
        </w:rPr>
        <w:t xml:space="preserve"> Gráfica de gap y overlaps en los datos de la estación CLBC en la componente Z.</w:t>
        <w:br/>
        <w:br/>
      </w:r>
      <w:r>
        <w:rPr>
          <w:b/>
          <w:sz w:val="24"/>
        </w:rPr>
        <w:t>2. Calidad</w:t>
        <w:br/>
        <w:br/>
      </w:r>
      <w:r>
        <w:t>Durante los períodos que estuvo funcional la señal tuvo un buen comportamiento.</w:t>
        <w:br/>
        <w:t>Se observan cortes pequeños ocasionales en las señales.</w:t>
        <w:br/>
      </w:r>
      <w:r>
        <w:rPr>
          <w:b/>
          <w:sz w:val="24"/>
        </w:rPr>
        <w:t>2.1 Offset</w:t>
        <w:br/>
        <w:br/>
      </w:r>
      <w:r>
        <w:t>El offset tuvo el comportamiento esperado de este tipo de sensor</w:t>
        <w:br/>
        <w:br/>
      </w:r>
      <w:r>
        <w:rPr>
          <w:b/>
        </w:rPr>
        <w:t>Comportamiento de offset en el semestre para las tres componentes</w:t>
        <w:br/>
        <w:br/>
      </w:r>
      <w:r>
        <w:t>Z    |    mínimo: -9.0,    máximo: 101.1,    promedio: 23.97</w:t>
        <w:br/>
      </w:r>
      <w:r>
        <w:br/>
        <w:drawing>
          <wp:inline xmlns:a="http://schemas.openxmlformats.org/drawingml/2006/main" xmlns:pic="http://schemas.openxmlformats.org/drawingml/2006/picture">
            <wp:extent cx="5943600" cy="1472750"/>
            <wp:docPr id="3" name="Picture 3"/>
            <wp:cNvGraphicFramePr>
              <a:graphicFrameLocks noChangeAspect="1"/>
            </wp:cNvGraphicFramePr>
            <a:graphic>
              <a:graphicData uri="http://schemas.openxmlformats.org/drawingml/2006/picture">
                <pic:pic>
                  <pic:nvPicPr>
                    <pic:cNvPr id="0" name="offset_CLBC_EHZ.png"/>
                    <pic:cNvPicPr/>
                  </pic:nvPicPr>
                  <pic:blipFill>
                    <a:blip r:embed="rId12"/>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CLBC en la componente Z.</w:t>
        <w:br/>
        <w:br/>
      </w:r>
      <w:r>
        <w:rPr>
          <w:b/>
        </w:rPr>
        <w:t>Comportamiento de offset en el semestre para la componente Z</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 componente Z.</w:t>
        <w:br/>
        <w:br/>
      </w:r>
      <w:r>
        <w:t>Z    |    promedio %ppsd: 29.21,    número de picos: 51.0,    máximo de picos: 4.0</w:t>
        <w:br/>
        <w:br/>
      </w:r>
      <w:r>
        <w:drawing>
          <wp:inline xmlns:a="http://schemas.openxmlformats.org/drawingml/2006/main" xmlns:pic="http://schemas.openxmlformats.org/drawingml/2006/picture">
            <wp:extent cx="5943600" cy="1409260"/>
            <wp:docPr id="4" name="Picture 4"/>
            <wp:cNvGraphicFramePr>
              <a:graphicFrameLocks noChangeAspect="1"/>
            </wp:cNvGraphicFramePr>
            <a:graphic>
              <a:graphicData uri="http://schemas.openxmlformats.org/drawingml/2006/picture">
                <pic:pic>
                  <pic:nvPicPr>
                    <pic:cNvPr id="0" name="ppsd_CLBC_EHZ.png"/>
                    <pic:cNvPicPr/>
                  </pic:nvPicPr>
                  <pic:blipFill>
                    <a:blip r:embed="rId13"/>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CLBC en la componente Z.</w:t>
        <w:br/>
        <w:br/>
      </w:r>
      <w:r>
        <w:rPr>
          <w:b/>
          <w:sz w:val="24"/>
        </w:rPr>
        <w:t>Espectro</w:t>
        <w:br/>
        <w:br/>
      </w:r>
      <w:r>
        <w:t>El análisis de ruido muestra el comportamiento típico de un sensor corto período</w:t>
        <w:br/>
        <w:br/>
        <w:br/>
        <w:br/>
      </w:r>
      <w:r>
        <w:drawing>
          <wp:inline xmlns:a="http://schemas.openxmlformats.org/drawingml/2006/main" xmlns:pic="http://schemas.openxmlformats.org/drawingml/2006/picture">
            <wp:extent cx="4572000" cy="2305965"/>
            <wp:docPr id="5" name="Picture 5"/>
            <wp:cNvGraphicFramePr>
              <a:graphicFrameLocks noChangeAspect="1"/>
            </wp:cNvGraphicFramePr>
            <a:graphic>
              <a:graphicData uri="http://schemas.openxmlformats.org/drawingml/2006/picture">
                <pic:pic>
                  <pic:nvPicPr>
                    <pic:cNvPr id="0" name="img_ruido_1.png"/>
                    <pic:cNvPicPr/>
                  </pic:nvPicPr>
                  <pic:blipFill>
                    <a:blip r:embed="rId14"/>
                    <a:stretch>
                      <a:fillRect/>
                    </a:stretch>
                  </pic:blipFill>
                  <pic:spPr>
                    <a:xfrm>
                      <a:off x="0" y="0"/>
                      <a:ext cx="4572000" cy="2305965"/>
                    </a:xfrm>
                    <a:prstGeom prst="rect"/>
                  </pic:spPr>
                </pic:pic>
              </a:graphicData>
            </a:graphic>
          </wp:inline>
        </w:drawing>
      </w:r>
      <w:r>
        <w:rPr>
          <w:b/>
          <w:sz w:val="18"/>
        </w:rPr>
        <w:br/>
        <w:t>Figura 5.</w:t>
      </w:r>
      <w:r>
        <w:rPr>
          <w:sz w:val="18"/>
        </w:rPr>
        <w:t xml:space="preserve"> Espectro de ruido en los datos de la estación CLBC.</w:t>
        <w:br/>
        <w:br/>
      </w:r>
      <w:r>
        <w:rPr>
          <w:b/>
          <w:sz w:val="24"/>
        </w:rPr>
        <w:br/>
        <w:t>3. Última visita</w:t>
        <w:br/>
        <w:br/>
      </w:r>
      <w:r>
        <w:t>La última visita a la estación fue el 2023-09-22 por Ariel Portocarrero realizando  mantenimiento correctivo, mantenimiento correctivo por fallas del sistema de comunicación satelital.</w:t>
        <w:br/>
        <w:br/>
        <w:br/>
        <w:br/>
      </w:r>
      <w:r>
        <w:rPr>
          <w:b/>
          <w:sz w:val="24"/>
        </w:rPr>
        <w:t>4. Recomendaciones</w:t>
        <w:br/>
        <w:br/>
      </w:r>
      <w:r>
        <w:t>Hacer seguimiento al sistema de energía toda vez se restablezca la transmisión de la estación</w:t>
        <w:br/>
        <w:br/>
      </w:r>
      <w:r>
        <w:drawing>
          <wp:inline xmlns:a="http://schemas.openxmlformats.org/drawingml/2006/main" xmlns:pic="http://schemas.openxmlformats.org/drawingml/2006/picture">
            <wp:extent cx="4572000" cy="1643062"/>
            <wp:docPr id="6" name="Picture 6"/>
            <wp:cNvGraphicFramePr>
              <a:graphicFrameLocks noChangeAspect="1"/>
            </wp:cNvGraphicFramePr>
            <a:graphic>
              <a:graphicData uri="http://schemas.openxmlformats.org/drawingml/2006/picture">
                <pic:pic>
                  <pic:nvPicPr>
                    <pic:cNvPr id="0" name="img_recom_1.png"/>
                    <pic:cNvPicPr/>
                  </pic:nvPicPr>
                  <pic:blipFill>
                    <a:blip r:embed="rId15"/>
                    <a:stretch>
                      <a:fillRect/>
                    </a:stretch>
                  </pic:blipFill>
                  <pic:spPr>
                    <a:xfrm>
                      <a:off x="0" y="0"/>
                      <a:ext cx="4572000" cy="1643062"/>
                    </a:xfrm>
                    <a:prstGeom prst="rect"/>
                  </pic:spPr>
                </pic:pic>
              </a:graphicData>
            </a:graphic>
          </wp:inline>
        </w:drawing>
      </w:r>
      <w:r>
        <w:rPr>
          <w:b/>
          <w:sz w:val="18"/>
        </w:rPr>
        <w:br/>
        <w:t xml:space="preserve">Figura 6. </w:t>
      </w:r>
      <w:r>
        <w:rPr>
          <w:sz w:val="18"/>
        </w:rPr>
        <w:t xml:space="preserve"> Imagen de apoyo de la estación CLBC.</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CLBC | Semestre 2023-II</w:t>
          </w:r>
        </w:p>
      </w:tc>
      <w:tc>
        <w:tcPr>
          <w:tcW w:type="dxa" w:w="3402"/>
        </w:tcPr>
        <w:p/>
        <w:p>
          <w:r>
            <w:t xml:space="preserve">Sismología </w:t>
            <w:br/>
            <w:t>Por: Luisa Castillo</w:t>
            <w:br/>
            <w:t>Fecha: 2024/01/14</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