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br/>
        <w:br/>
        <w:br/>
      </w:r>
      <w:r>
        <w:rPr>
          <w:b/>
          <w:sz w:val="24"/>
        </w:rPr>
        <w:t>Estación Florencia - FLO2 HH</w:t>
        <w:br/>
        <w:br/>
      </w:r>
    </w:p>
    <w:p>
      <w:r>
        <w:rPr>
          <w:b/>
        </w:rPr>
        <w:t xml:space="preserve">Departamento: </w:t>
      </w:r>
      <w:r>
        <w:t>Caqueta</w:t>
      </w:r>
      <w:r>
        <w:rPr>
          <w:b/>
        </w:rPr>
        <w:t xml:space="preserve">  |  Municipio: </w:t>
      </w:r>
      <w:r>
        <w:t>Florencia</w:t>
        <w:br/>
      </w:r>
      <w:r>
        <w:rPr>
          <w:b/>
        </w:rPr>
        <w:t xml:space="preserve">Coordenadas de la estación: </w:t>
      </w:r>
      <w:r>
        <w:t xml:space="preserve"> Lat. 1.583, Lon. -75.653</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banda ancha - 00 </w:t>
      </w:r>
      <w:r>
        <w:br/>
      </w:r>
      <w:r>
        <w:rPr>
          <w:b/>
        </w:rPr>
        <w:t xml:space="preserve">Sensor y digitalizador: </w:t>
      </w:r>
      <w:r>
        <w:t>STS-2.5, 120s, 1500 V/m/s-Q330SR, gain 1, 100 sps,</w:t>
        <w:br/>
      </w:r>
      <w:r>
        <w:rPr>
          <w:b/>
        </w:rPr>
        <w:t xml:space="preserve">Fecha inicio: </w:t>
      </w:r>
      <w:r>
        <w:t>2016-08-04 16:37:00</w:t>
      </w:r>
      <w:r>
        <w:rPr>
          <w:b/>
        </w:rPr>
        <w:t xml:space="preserve">  |  Fecha fin: </w:t>
      </w:r>
      <w:r>
        <w:t>2599-12-31 23:59:59</w:t>
      </w:r>
    </w:p>
    <w:p>
      <w:pPr>
        <w:jc w:val="center"/>
      </w:pPr>
      <w:r>
        <w:br/>
        <w:br/>
      </w:r>
      <w:r>
        <w:rPr>
          <w:b/>
          <w:sz w:val="24"/>
        </w:rPr>
        <w:t>Estado actual</w:t>
      </w:r>
    </w:p>
    <w:p>
      <w:r>
        <w:rPr>
          <w:b/>
        </w:rPr>
        <w:t>Observación del Sismólogo</w:t>
        <w:br/>
        <w:br/>
      </w:r>
      <w:r>
        <w:t>En la componente Este del acelerografo desde el 21 de enero cambio drasticamente las cuentas de -38 mil a -337 mil en solo dos días.  Sale de funcionamiento el 2 de febrero de 2024 por problemas de comunicación satelital.</w:t>
        <w:br/>
        <w:br/>
      </w:r>
      <w:r>
        <w:rPr>
          <w:b/>
        </w:rPr>
        <w:t>Observación del Electrónico</w:t>
        <w:br/>
        <w:br/>
      </w:r>
      <w:r>
        <w:t>Presenta fallas del sistema de comunicación satelital. Es posible que por alguna anomalía en el funcionamiento de los equipos de comunicación (BUC, LNB y/o Modem) o una descarga eléctrica atmosférica, la estación deja de transmitir. Adicionalmente, se verifica si existe portadora en el analizador de espectro y no hay nada. También posiblemente, como no se puede monitorear el sistema eléctrico de la carga del banco de baterías, puede ser una falla por ausencia de la acometida comercial monofásica.</w:t>
        <w:br/>
        <w:br/>
      </w:r>
      <w:r>
        <w:rPr>
          <w:b/>
        </w:rPr>
        <w:t xml:space="preserve">Fecha del problema: </w:t>
      </w:r>
      <w:r>
        <w:t>2024-02-02</w:t>
        <w:br/>
        <w:br/>
      </w:r>
      <w:r>
        <w:rPr>
          <w:b/>
        </w:rPr>
        <w:t xml:space="preserve">Estado de disponibilidad: </w:t>
      </w:r>
      <w:r>
        <w:t>Por fuera</w:t>
        <w:br/>
        <w:br/>
      </w:r>
      <w:r>
        <w:rPr>
          <w:b/>
        </w:rPr>
        <w:t xml:space="preserve">Problema de sistema: </w:t>
      </w:r>
      <w:r>
        <w:t>Comunicaciones</w:t>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99.7%,    máximo: 100.0%,    promedio: 100.0%</w:t>
        <w:br/>
      </w:r>
      <w:r>
        <w:t>N    |    mínimo: 99.7%,    máximo: 100.0%,    promedio: 100.0%</w:t>
        <w:br/>
      </w:r>
      <w:r>
        <w:t>E    |    mínimo: 99.7%,    máximo: 100.0%,    promedio: 100.0%</w:t>
      </w:r>
      <w:r>
        <w:br/>
        <w:br/>
        <w:drawing>
          <wp:inline xmlns:a="http://schemas.openxmlformats.org/drawingml/2006/main" xmlns:pic="http://schemas.openxmlformats.org/drawingml/2006/picture">
            <wp:extent cx="5943600" cy="1065689"/>
            <wp:docPr id="1" name="Picture 1"/>
            <wp:cNvGraphicFramePr>
              <a:graphicFrameLocks noChangeAspect="1"/>
            </wp:cNvGraphicFramePr>
            <a:graphic>
              <a:graphicData uri="http://schemas.openxmlformats.org/drawingml/2006/picture">
                <pic:pic>
                  <pic:nvPicPr>
                    <pic:cNvPr id="0" name="disp_FLO2_HHZ.png"/>
                    <pic:cNvPicPr/>
                  </pic:nvPicPr>
                  <pic:blipFill>
                    <a:blip r:embed="rId10"/>
                    <a:stretch>
                      <a:fillRect/>
                    </a:stretch>
                  </pic:blipFill>
                  <pic:spPr>
                    <a:xfrm>
                      <a:off x="0" y="0"/>
                      <a:ext cx="5943600" cy="1065689"/>
                    </a:xfrm>
                    <a:prstGeom prst="rect"/>
                  </pic:spPr>
                </pic:pic>
              </a:graphicData>
            </a:graphic>
          </wp:inline>
        </w:drawing>
        <w:drawing>
          <wp:inline xmlns:a="http://schemas.openxmlformats.org/drawingml/2006/main" xmlns:pic="http://schemas.openxmlformats.org/drawingml/2006/picture">
            <wp:extent cx="5943600" cy="1065689"/>
            <wp:docPr id="2" name="Picture 2"/>
            <wp:cNvGraphicFramePr>
              <a:graphicFrameLocks noChangeAspect="1"/>
            </wp:cNvGraphicFramePr>
            <a:graphic>
              <a:graphicData uri="http://schemas.openxmlformats.org/drawingml/2006/picture">
                <pic:pic>
                  <pic:nvPicPr>
                    <pic:cNvPr id="0" name="disp_FLO2_HHN.png"/>
                    <pic:cNvPicPr/>
                  </pic:nvPicPr>
                  <pic:blipFill>
                    <a:blip r:embed="rId11"/>
                    <a:stretch>
                      <a:fillRect/>
                    </a:stretch>
                  </pic:blipFill>
                  <pic:spPr>
                    <a:xfrm>
                      <a:off x="0" y="0"/>
                      <a:ext cx="5943600" cy="1065689"/>
                    </a:xfrm>
                    <a:prstGeom prst="rect"/>
                  </pic:spPr>
                </pic:pic>
              </a:graphicData>
            </a:graphic>
          </wp:inline>
        </w:drawing>
        <w:drawing>
          <wp:inline xmlns:a="http://schemas.openxmlformats.org/drawingml/2006/main" xmlns:pic="http://schemas.openxmlformats.org/drawingml/2006/picture">
            <wp:extent cx="5943600" cy="1065689"/>
            <wp:docPr id="3" name="Picture 3"/>
            <wp:cNvGraphicFramePr>
              <a:graphicFrameLocks noChangeAspect="1"/>
            </wp:cNvGraphicFramePr>
            <a:graphic>
              <a:graphicData uri="http://schemas.openxmlformats.org/drawingml/2006/picture">
                <pic:pic>
                  <pic:nvPicPr>
                    <pic:cNvPr id="0" name="disp_FLO2_HHE.png"/>
                    <pic:cNvPicPr/>
                  </pic:nvPicPr>
                  <pic:blipFill>
                    <a:blip r:embed="rId12"/>
                    <a:stretch>
                      <a:fillRect/>
                    </a:stretch>
                  </pic:blipFill>
                  <pic:spPr>
                    <a:xfrm>
                      <a:off x="0" y="0"/>
                      <a:ext cx="5943600" cy="1065689"/>
                    </a:xfrm>
                    <a:prstGeom prst="rect"/>
                  </pic:spPr>
                </pic:pic>
              </a:graphicData>
            </a:graphic>
          </wp:inline>
        </w:drawing>
      </w:r>
      <w:r>
        <w:rPr>
          <w:b/>
          <w:sz w:val="18"/>
        </w:rPr>
        <w:t xml:space="preserve">  Figura 1.</w:t>
      </w:r>
      <w:r>
        <w:rPr>
          <w:sz w:val="18"/>
        </w:rPr>
        <w:t xml:space="preserve"> Gráfica de disponibilidad en los datos de la estación FLO2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72,    máximo: 4,    promedio: 0.39</w:t>
        <w:br/>
      </w:r>
      <w:r>
        <w:t>N    |    número de gaps: 72,    máximo: 4,    promedio: 0.39</w:t>
        <w:br/>
      </w:r>
      <w:r>
        <w:t>E    |    número de gaps: 72,    máximo: 4,    promedio: 0.39</w:t>
        <w:br/>
        <w:br/>
      </w:r>
      <w:r>
        <w:rPr>
          <w:b/>
        </w:rPr>
        <w:t>Overlaps</w:t>
        <w:br/>
      </w:r>
      <w:r>
        <w:t>Z    |    número de overlaps: 47,    máximo: 5,    promedio: 0.25</w:t>
        <w:br/>
      </w:r>
      <w:r>
        <w:t>N    |    número de overlaps: 47,    máximo: 5,    promedio: 0.25</w:t>
        <w:br/>
      </w:r>
      <w:r>
        <w:t>E    |    número de overlaps: 48,    máximo: 5,    promedio: 0.26</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FLO2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FLO2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FLO2_H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FLO2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1529.5,    máximo: 2364.2,    promedio: 1890.09</w:t>
        <w:br/>
      </w:r>
      <w:r>
        <w:t>N    |    mínimo: 302.4,    máximo: 1103.6,    promedio: 668.64</w:t>
        <w:br/>
      </w:r>
      <w:r>
        <w:t>E    |    mínimo: -763.5,    máximo: 129.9,    promedio: -205.36</w:t>
        <w:br/>
        <w:br/>
      </w:r>
      <w:r>
        <w:br/>
        <w:drawing>
          <wp:inline xmlns:a="http://schemas.openxmlformats.org/drawingml/2006/main" xmlns:pic="http://schemas.openxmlformats.org/drawingml/2006/picture">
            <wp:extent cx="5943600" cy="1462164"/>
            <wp:docPr id="7" name="Picture 7"/>
            <wp:cNvGraphicFramePr>
              <a:graphicFrameLocks noChangeAspect="1"/>
            </wp:cNvGraphicFramePr>
            <a:graphic>
              <a:graphicData uri="http://schemas.openxmlformats.org/drawingml/2006/picture">
                <pic:pic>
                  <pic:nvPicPr>
                    <pic:cNvPr id="0" name="offset_FLO2_HHZ.png"/>
                    <pic:cNvPicPr/>
                  </pic:nvPicPr>
                  <pic:blipFill>
                    <a:blip r:embed="rId16"/>
                    <a:stretch>
                      <a:fillRect/>
                    </a:stretch>
                  </pic:blipFill>
                  <pic:spPr>
                    <a:xfrm>
                      <a:off x="0" y="0"/>
                      <a:ext cx="5943600" cy="1462164"/>
                    </a:xfrm>
                    <a:prstGeom prst="rect"/>
                  </pic:spPr>
                </pic:pic>
              </a:graphicData>
            </a:graphic>
          </wp:inline>
        </w:drawing>
        <w:drawing>
          <wp:inline xmlns:a="http://schemas.openxmlformats.org/drawingml/2006/main" xmlns:pic="http://schemas.openxmlformats.org/drawingml/2006/picture">
            <wp:extent cx="5943600" cy="1463332"/>
            <wp:docPr id="8" name="Picture 8"/>
            <wp:cNvGraphicFramePr>
              <a:graphicFrameLocks noChangeAspect="1"/>
            </wp:cNvGraphicFramePr>
            <a:graphic>
              <a:graphicData uri="http://schemas.openxmlformats.org/drawingml/2006/picture">
                <pic:pic>
                  <pic:nvPicPr>
                    <pic:cNvPr id="0" name="offset_FLO2_HHN.png"/>
                    <pic:cNvPicPr/>
                  </pic:nvPicPr>
                  <pic:blipFill>
                    <a:blip r:embed="rId17"/>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59832"/>
            <wp:docPr id="9" name="Picture 9"/>
            <wp:cNvGraphicFramePr>
              <a:graphicFrameLocks noChangeAspect="1"/>
            </wp:cNvGraphicFramePr>
            <a:graphic>
              <a:graphicData uri="http://schemas.openxmlformats.org/drawingml/2006/picture">
                <pic:pic>
                  <pic:nvPicPr>
                    <pic:cNvPr id="0" name="offset_FLO2_HHE.png"/>
                    <pic:cNvPicPr/>
                  </pic:nvPicPr>
                  <pic:blipFill>
                    <a:blip r:embed="rId18"/>
                    <a:stretch>
                      <a:fillRect/>
                    </a:stretch>
                  </pic:blipFill>
                  <pic:spPr>
                    <a:xfrm>
                      <a:off x="0" y="0"/>
                      <a:ext cx="5943600" cy="1459832"/>
                    </a:xfrm>
                    <a:prstGeom prst="rect"/>
                  </pic:spPr>
                </pic:pic>
              </a:graphicData>
            </a:graphic>
          </wp:inline>
        </w:drawing>
        <w:br/>
      </w:r>
      <w:r>
        <w:rPr>
          <w:b/>
          <w:sz w:val="18"/>
        </w:rPr>
        <w:t xml:space="preserve">  Figura 3.</w:t>
      </w:r>
      <w:r>
        <w:rPr>
          <w:sz w:val="18"/>
        </w:rPr>
        <w:t xml:space="preserve">  Gráfica de offset en los datos de la estación FLO2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0.0,    número de picos: 273,    máximo de picos: 12</w:t>
        <w:br/>
      </w:r>
      <w:r>
        <w:t>N    |    promedio %ppsd: 1.41,    número de picos: 370,    máximo de picos: 8</w:t>
        <w:br/>
      </w:r>
      <w:r>
        <w:t>E    |    promedio %ppsd: 0.0,    número de picos: 376,    máximo de picos: 10</w:t>
        <w:br/>
        <w:br/>
      </w:r>
      <w:r>
        <w:drawing>
          <wp:inline xmlns:a="http://schemas.openxmlformats.org/drawingml/2006/main" xmlns:pic="http://schemas.openxmlformats.org/drawingml/2006/picture">
            <wp:extent cx="5943600" cy="1360051"/>
            <wp:docPr id="10" name="Picture 10"/>
            <wp:cNvGraphicFramePr>
              <a:graphicFrameLocks noChangeAspect="1"/>
            </wp:cNvGraphicFramePr>
            <a:graphic>
              <a:graphicData uri="http://schemas.openxmlformats.org/drawingml/2006/picture">
                <pic:pic>
                  <pic:nvPicPr>
                    <pic:cNvPr id="0" name="ppsd_FLO2_HHZ.png"/>
                    <pic:cNvPicPr/>
                  </pic:nvPicPr>
                  <pic:blipFill>
                    <a:blip r:embed="rId19"/>
                    <a:stretch>
                      <a:fillRect/>
                    </a:stretch>
                  </pic:blipFill>
                  <pic:spPr>
                    <a:xfrm>
                      <a:off x="0" y="0"/>
                      <a:ext cx="5943600" cy="1360051"/>
                    </a:xfrm>
                    <a:prstGeom prst="rect"/>
                  </pic:spPr>
                </pic:pic>
              </a:graphicData>
            </a:graphic>
          </wp:inline>
        </w:drawing>
        <w:drawing>
          <wp:inline xmlns:a="http://schemas.openxmlformats.org/drawingml/2006/main" xmlns:pic="http://schemas.openxmlformats.org/drawingml/2006/picture">
            <wp:extent cx="5943600" cy="1419092"/>
            <wp:docPr id="11" name="Picture 11"/>
            <wp:cNvGraphicFramePr>
              <a:graphicFrameLocks noChangeAspect="1"/>
            </wp:cNvGraphicFramePr>
            <a:graphic>
              <a:graphicData uri="http://schemas.openxmlformats.org/drawingml/2006/picture">
                <pic:pic>
                  <pic:nvPicPr>
                    <pic:cNvPr id="0" name="ppsd_FLO2_HHN.png"/>
                    <pic:cNvPicPr/>
                  </pic:nvPicPr>
                  <pic:blipFill>
                    <a:blip r:embed="rId20"/>
                    <a:stretch>
                      <a:fillRect/>
                    </a:stretch>
                  </pic:blipFill>
                  <pic:spPr>
                    <a:xfrm>
                      <a:off x="0" y="0"/>
                      <a:ext cx="5943600" cy="1419092"/>
                    </a:xfrm>
                    <a:prstGeom prst="rect"/>
                  </pic:spPr>
                </pic:pic>
              </a:graphicData>
            </a:graphic>
          </wp:inline>
        </w:drawing>
        <w:drawing>
          <wp:inline xmlns:a="http://schemas.openxmlformats.org/drawingml/2006/main" xmlns:pic="http://schemas.openxmlformats.org/drawingml/2006/picture">
            <wp:extent cx="5943600" cy="1374346"/>
            <wp:docPr id="12" name="Picture 12"/>
            <wp:cNvGraphicFramePr>
              <a:graphicFrameLocks noChangeAspect="1"/>
            </wp:cNvGraphicFramePr>
            <a:graphic>
              <a:graphicData uri="http://schemas.openxmlformats.org/drawingml/2006/picture">
                <pic:pic>
                  <pic:nvPicPr>
                    <pic:cNvPr id="0" name="ppsd_FLO2_HHE.png"/>
                    <pic:cNvPicPr/>
                  </pic:nvPicPr>
                  <pic:blipFill>
                    <a:blip r:embed="rId21"/>
                    <a:stretch>
                      <a:fillRect/>
                    </a:stretch>
                  </pic:blipFill>
                  <pic:spPr>
                    <a:xfrm>
                      <a:off x="0" y="0"/>
                      <a:ext cx="5943600" cy="1374346"/>
                    </a:xfrm>
                    <a:prstGeom prst="rect"/>
                  </pic:spPr>
                </pic:pic>
              </a:graphicData>
            </a:graphic>
          </wp:inline>
        </w:drawing>
      </w:r>
      <w:r>
        <w:rPr>
          <w:b/>
          <w:sz w:val="18"/>
        </w:rPr>
        <w:t xml:space="preserve">  Figura 4.</w:t>
      </w:r>
      <w:r>
        <w:rPr>
          <w:sz w:val="18"/>
        </w:rPr>
        <w:t xml:space="preserve"> Gráfica de %ppsd y picos en los datos de la estación FLO2 en sus tres componentes.</w:t>
        <w:br/>
        <w:br/>
      </w:r>
      <w:r>
        <w:rPr>
          <w:b/>
          <w:sz w:val="24"/>
        </w:rPr>
        <w:t>Espectro</w:t>
        <w:br/>
        <w:br/>
      </w:r>
      <w:r>
        <w:t xml:space="preserve"> </w:t>
        <w:br/>
        <w:br/>
        <w:br/>
        <w:br/>
      </w:r>
      <w:r>
        <w:rPr>
          <w:b/>
          <w:sz w:val="24"/>
        </w:rPr>
        <w:br/>
        <w:t>3. Última visita</w:t>
        <w:br/>
        <w:br/>
      </w:r>
      <w:r>
        <w:t>La última visita a la estación fue el 2023-04-24 por Andres Felipe Gomez realizando  mantenimiento correctivo, se verifican conexiones electricas, se limpian bornes de las baterias, se ubica plastico encima de las baterias, se hace canal para salida de agua de la caseta, se cambia radio cod_042201 y 034713 por los cod. 028166 y 046594.</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FLO2 | Semestre 2023-II</w:t>
          </w:r>
        </w:p>
      </w:tc>
      <w:tc>
        <w:tcPr>
          <w:tcW w:type="dxa" w:w="3402"/>
        </w:tcPr>
        <w:p/>
        <w:p>
          <w:r>
            <w:t xml:space="preserve">Sismología </w:t>
            <w:br/>
            <w:t>Por: Angel Daniel Agudelo</w:t>
            <w:br/>
            <w:t>Fecha: 2024/02/20</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