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Guaviare - GUA EH</w:t>
        <w:br/>
        <w:br/>
      </w:r>
      <w:r>
        <w:rPr>
          <w:b/>
        </w:rPr>
        <w:t xml:space="preserve">Departamento: </w:t>
      </w:r>
      <w:r>
        <w:t>Guaviare</w:t>
      </w:r>
      <w:r>
        <w:rPr>
          <w:b/>
        </w:rPr>
        <w:t xml:space="preserve">  |  Municipio: </w:t>
      </w:r>
      <w:r>
        <w:t>San José Del Guaviare</w:t>
        <w:br/>
      </w:r>
      <w:r>
        <w:rPr>
          <w:b/>
        </w:rPr>
        <w:t xml:space="preserve">Coordenadas de la estación: </w:t>
      </w:r>
      <w:r>
        <w:t xml:space="preserve"> Lat. 2.542, Lon. -72.624</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corto periodo - 20 </w:t>
      </w:r>
      <w:r>
        <w:br/>
      </w:r>
      <w:r>
        <w:rPr>
          <w:b/>
        </w:rPr>
        <w:t xml:space="preserve">Sensor y digitalizador: </w:t>
      </w:r>
      <w:r>
        <w:t>CMG-6T, 1s-100Hz, 2400 V/m/s-DM-24 Mk3 Fixed Gain,</w:t>
        <w:br/>
      </w:r>
      <w:r>
        <w:rPr>
          <w:b/>
        </w:rPr>
        <w:t xml:space="preserve">Fecha inicio: </w:t>
      </w:r>
      <w:r>
        <w:t>2022-05-05 16:00:00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64.35%</w:t>
        <w:br/>
      </w:r>
      <w:r>
        <w:t>N    |    mínimo: 0.0%,    máximo: 100.0%,    promedio: 64.35%</w:t>
        <w:br/>
      </w:r>
      <w:r>
        <w:t>E    |    mínimo: 0.0%,    máximo: 100.0%,    promedio: 64.35%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GUA_E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GUA_E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GUA_E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GUA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36,    máximo: 3,    promedio: 0.2</w:t>
        <w:br/>
      </w:r>
      <w:r>
        <w:t>N    |    número de gaps: 36,    máximo: 3,    promedio: 0.2</w:t>
        <w:br/>
      </w:r>
      <w:r>
        <w:t>E    |    número de gaps: 36,    máximo: 3,    promedio: 0.2</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GUA_E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GUA_E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GUA_E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GUA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-34091.5,    máximo: -34087.2,    promedio: -34088.92</w:t>
        <w:br/>
      </w:r>
      <w:r>
        <w:t>N    |    mínimo: -33090.3,    máximo: -33085.0,    promedio: -33088.1</w:t>
        <w:br/>
      </w:r>
      <w:r>
        <w:t>E    |    mínimo: -33008.7,    máximo: -33003.6,    promedio: -33004.67</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GUA_EH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GUA_EH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79894"/>
            <wp:docPr id="9" name="Picture 9"/>
            <wp:cNvGraphicFramePr>
              <a:graphicFrameLocks noChangeAspect="1"/>
            </wp:cNvGraphicFramePr>
            <a:graphic>
              <a:graphicData uri="http://schemas.openxmlformats.org/drawingml/2006/picture">
                <pic:pic>
                  <pic:nvPicPr>
                    <pic:cNvPr id="0" name="offset_GUA_EHE.png"/>
                    <pic:cNvPicPr/>
                  </pic:nvPicPr>
                  <pic:blipFill>
                    <a:blip r:embed="rId18"/>
                    <a:stretch>
                      <a:fillRect/>
                    </a:stretch>
                  </pic:blipFill>
                  <pic:spPr>
                    <a:xfrm>
                      <a:off x="0" y="0"/>
                      <a:ext cx="5943600" cy="1479894"/>
                    </a:xfrm>
                    <a:prstGeom prst="rect"/>
                  </pic:spPr>
                </pic:pic>
              </a:graphicData>
            </a:graphic>
          </wp:inline>
        </w:drawing>
        <w:br/>
      </w:r>
      <w:r>
        <w:rPr>
          <w:b/>
          <w:sz w:val="18"/>
        </w:rPr>
        <w:t xml:space="preserve">  Figura 3.</w:t>
      </w:r>
      <w:r>
        <w:rPr>
          <w:sz w:val="18"/>
        </w:rPr>
        <w:t xml:space="preserve">  Gráfica de offset en los datos de la estación GUA en sus tres componentes.</w:t>
        <w:br/>
        <w:br/>
      </w:r>
      <w:r>
        <w:rPr>
          <w:b/>
          <w:sz w:val="24"/>
        </w:rPr>
        <w:t>2.2 Análisis de ruido</w:t>
        <w:br/>
        <w:br/>
      </w:r>
      <w:r>
        <w:rPr>
          <w:b/>
          <w:sz w:val="24"/>
        </w:rPr>
        <w:t>Porcentaje fuera de las curvas de Peterson de la media del espectro probabilístico de densidad de potencia (%PPSD) y picos</w:t>
        <w:br/>
        <w:br/>
      </w:r>
      <w:r>
        <w:t xml:space="preserve">El %ppsd es el porcentaje de cuánto de la media del espectro de ruido de la estación se encuentra por fuera de las curvas de Peterson, Para las estaciones de corto periodo este %ppsd se espera que esté alrededor del 25% y esto nos dirá que las frecuencias registradas se encuentran dentro de lo normal o no. </w:t>
        <w:br/>
        <w:br/>
      </w:r>
      <w:r>
        <w:rPr>
          <w:b/>
        </w:rPr>
        <w:t>Comportamiento del %ppsd y picos en el semestre para las tres componentes.</w:t>
        <w:br/>
        <w:br/>
      </w:r>
      <w:r>
        <w:t>Z    |    promedio %ppsd: 21.54,    número de picos: 127,    máximo de picos: 4</w:t>
        <w:br/>
      </w:r>
      <w:r>
        <w:t>N    |    promedio %ppsd: 26.07,    número de picos: 51,    máximo de picos: 3</w:t>
        <w:br/>
      </w:r>
      <w:r>
        <w:t>E    |    promedio %ppsd: 27.74,    número de picos: 46,    máximo de picos: 4</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GUA_E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GUA_EH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GUA_EH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GUA en sus tres componentes.</w:t>
        <w:br/>
        <w:br/>
      </w:r>
      <w:r>
        <w:rPr>
          <w:b/>
          <w:sz w:val="24"/>
        </w:rPr>
        <w:t>Espectro</w:t>
        <w:br/>
        <w:br/>
      </w:r>
      <w:r>
        <w:t xml:space="preserve"> </w:t>
        <w:br/>
        <w:br/>
        <w:br/>
        <w:br/>
      </w:r>
      <w:r>
        <w:rPr>
          <w:b/>
          <w:sz w:val="24"/>
        </w:rPr>
        <w:br/>
        <w:t>3. Última visita</w:t>
        <w:br/>
        <w:br/>
      </w:r>
      <w:r>
        <w:t>La última visita a la estación fue el 2022-05-04 por Juan Manuel Solano realizando  mantenimiento correctivo, se retira sercel l400001874, q330_4667 y episensor_6326 y se instalan digital dasu a6713/6869, sismo</w:t>
        <w:br/>
        <w:br/>
        <w:t>t6y26 y acelerografo t5e32-b607, se desyerba y limpia alrededor caseta y se lavan paneles y antena,</w:t>
        <w:br/>
        <w:br/>
        <w:t>se revisan conexiones, se limpia interior caseta y se instala letrero del sgc.</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corto periodo GUA | Semestre 2023-I</w:t>
          </w:r>
        </w:p>
      </w:tc>
      <w:tc>
        <w:tcPr>
          <w:tcW w:type="dxa" w:w="3402"/>
        </w:tcPr>
        <w:p/>
        <w:p>
          <w:r>
            <w:t xml:space="preserve">Sismología </w:t>
            <w:br/>
            <w:t>Por: Omar Mercado</w:t>
            <w:br/>
            <w:t>Fecha: 2023/07/31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