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Santa Helena  - HEL HH</w:t>
        <w:br/>
        <w:br/>
      </w:r>
      <w:r>
        <w:rPr>
          <w:b/>
        </w:rPr>
        <w:t xml:space="preserve">Departamento: </w:t>
      </w:r>
      <w:r>
        <w:t>Antioquia</w:t>
      </w:r>
      <w:r>
        <w:rPr>
          <w:b/>
        </w:rPr>
        <w:t xml:space="preserve">  |  Municipio: </w:t>
      </w:r>
      <w:r>
        <w:t>Medellín</w:t>
        <w:br/>
      </w:r>
      <w:r>
        <w:rPr>
          <w:b/>
        </w:rPr>
        <w:t xml:space="preserve">Coordenadas de la estación: </w:t>
      </w:r>
      <w:r>
        <w:t xml:space="preserve"> Lat. 6.191, Lon. -75.529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CMG-3ESP, 120 s, 2000 V/m/s-Q330SR, gain 1, 100 sp</w:t>
        <w:br/>
      </w:r>
      <w:r>
        <w:rPr>
          <w:b/>
        </w:rPr>
        <w:t xml:space="preserve">Fecha inicio: </w:t>
      </w:r>
      <w:r>
        <w:t>2011-06-18 18:40:00</w:t>
      </w:r>
      <w:r>
        <w:rPr>
          <w:b/>
        </w:rPr>
        <w:t xml:space="preserve">  |  Fecha fin: </w:t>
      </w:r>
      <w:r>
        <w:t>2599-12-31 23:59:59</w:t>
        <w:br/>
        <w:br/>
        <w:br/>
        <w:br/>
      </w:r>
      <w:r>
        <w:rPr>
          <w:b/>
          <w:sz w:val="28"/>
        </w:rPr>
        <w:t>1. Funcionamiento</w:t>
        <w:br/>
        <w:br/>
      </w:r>
      <w:r>
        <w:t xml:space="preserve"> </w:t>
        <w:br/>
        <w:br/>
      </w:r>
      <w:r>
        <w:rPr>
          <w:b/>
          <w:sz w:val="28"/>
        </w:rPr>
        <w:t>1.1 Disponibilidad</w:t>
        <w:br/>
      </w:r>
      <w:r>
        <w:t xml:space="preserve"> </w:t>
        <w:br/>
      </w:r>
    </w:p>
    <w:p>
      <w:r>
        <w:rPr>
          <w:b/>
        </w:rPr>
        <w:t>Comportamiento de disponibilidad en el semestre para las tres componentes</w:t>
        <w:br/>
        <w:br/>
      </w:r>
      <w:r>
        <w:t>Z    |    mínimo: 0.0%,    máximo: 100.0%,    promedio: 83.02%</w:t>
        <w:br/>
      </w:r>
      <w:r>
        <w:t>N    |    mínimo: 0.0%,    máximo: 100.0%,    promedio: 83.02%</w:t>
        <w:br/>
      </w:r>
      <w:r>
        <w:t>E    |    mínimo: 0.0%,    máximo: 100.0%,    promedio: 83.02%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HEL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HEL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HEL_HH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HEL en sus tres componentes.</w:t>
        <w:br/>
        <w:br/>
      </w:r>
      <w:r>
        <w:rPr>
          <w:b/>
          <w:sz w:val="28"/>
        </w:rPr>
        <w:t>1.2 Gaps y Overlaps</w:t>
        <w:br/>
      </w:r>
      <w:r>
        <w:t xml:space="preserve"> </w:t>
        <w:br/>
      </w:r>
    </w:p>
    <w:p>
      <w:r>
        <w:br w:type="page"/>
      </w:r>
    </w:p>
    <w:p>
      <w:r>
        <w:rPr>
          <w:b/>
        </w:rPr>
        <w:t>Comportamiento de gaps y overlaps en el semestre para las tres componentes</w:t>
        <w:br/>
        <w:br/>
      </w:r>
      <w:r>
        <w:rPr>
          <w:b/>
        </w:rPr>
        <w:t>Gaps</w:t>
        <w:br/>
      </w:r>
      <w:r>
        <w:t>Z    |    número de gaps: 34,    máximo: 5,    promedio: 0.19</w:t>
        <w:br/>
      </w:r>
      <w:r>
        <w:t>N    |    número de gaps: 33,    máximo: 5,    promedio: 0.18</w:t>
        <w:br/>
      </w:r>
      <w:r>
        <w:t>E    |    número de gaps: 33,    máximo: 5,    promedio: 0.18</w:t>
        <w:br/>
        <w:br/>
      </w:r>
      <w:r>
        <w:rPr>
          <w:b/>
        </w:rPr>
        <w:t>Overlaps</w:t>
        <w:br/>
      </w:r>
      <w:r>
        <w:t>Z    |    número de overlaps: 36,    máximo: 3,    promedio: 0.2</w:t>
        <w:br/>
      </w:r>
      <w:r>
        <w:t>N    |    número de overlaps: 37,    máximo: 3,    promedio: 0.2</w:t>
        <w:br/>
      </w:r>
      <w:r>
        <w:t>E    |    número de overlaps: 37,    máximo: 3,    promedio: 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HEL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HEL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HEL_HHE.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HEL en sus tres componentes.</w:t>
        <w:br/>
        <w:br/>
      </w:r>
      <w:r>
        <w:rPr>
          <w:b/>
          <w:sz w:val="28"/>
        </w:rPr>
        <w:t>2. Calidad</w:t>
        <w:br/>
        <w:br/>
      </w:r>
      <w:r>
        <w:t xml:space="preserve"> </w:t>
        <w:br/>
        <w:br/>
      </w:r>
      <w:r>
        <w:rPr>
          <w:b/>
          <w:sz w:val="28"/>
        </w:rPr>
        <w:t>2.1 Offset</w:t>
        <w:br/>
        <w:br/>
      </w:r>
      <w:r>
        <w:t xml:space="preserve"> </w:t>
        <w:br/>
      </w:r>
      <w:r>
        <w:rPr>
          <w:b/>
        </w:rPr>
        <w:t>Comportamiento de offset en el semestre para las tres componentes</w:t>
        <w:br/>
        <w:br/>
      </w:r>
      <w:r>
        <w:t>Z    |    mínimo: -32.4,    máximo: 4620.1,    promedio: 1006.16</w:t>
        <w:br/>
      </w:r>
      <w:r>
        <w:t>N    |    mínimo: 19.6,    máximo: 1241.7,    promedio: 142.12</w:t>
        <w:br/>
      </w:r>
      <w:r>
        <w:t>E    |    mínimo: -926.6,    máximo: 2410.1,    promedio: -445.14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HEL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HEL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HEL_HHE.png"/>
                    <pic:cNvPicPr/>
                  </pic:nvPicPr>
                  <pic:blipFill>
                    <a:blip r:embed="rId18"/>
                    <a:stretch>
                      <a:fillRect/>
                    </a:stretch>
                  </pic:blipFill>
                  <pic:spPr>
                    <a:xfrm>
                      <a:off x="0" y="0"/>
                      <a:ext cx="5943600" cy="1449429"/>
                    </a:xfrm>
                    <a:prstGeom prst="rect"/>
                  </pic:spPr>
                </pic:pic>
              </a:graphicData>
            </a:graphic>
          </wp:inline>
        </w:drawing>
        <w:br/>
      </w:r>
      <w:r>
        <w:rPr>
          <w:b/>
        </w:rPr>
        <w:t xml:space="preserve">  Figura 3.</w:t>
      </w:r>
      <w:r>
        <w:t xml:space="preserve">  Gráfica de offset en los datos de la estación HEL en sus tres componentes.</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158,    máximo de picos: 7</w:t>
        <w:br/>
      </w:r>
      <w:r>
        <w:t>N    |    promedio %ppsd: 0.03,    número de picos: 452,    máximo de picos: 12</w:t>
        <w:br/>
      </w:r>
      <w:r>
        <w:t>E    |    promedio %ppsd: 0.03,    número de picos: 239,    máximo de picos: 11</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HEL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HEL_HH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HEL_HHE.png"/>
                    <pic:cNvPicPr/>
                  </pic:nvPicPr>
                  <pic:blipFill>
                    <a:blip r:embed="rId21"/>
                    <a:stretch>
                      <a:fillRect/>
                    </a:stretch>
                  </pic:blipFill>
                  <pic:spPr>
                    <a:xfrm>
                      <a:off x="0" y="0"/>
                      <a:ext cx="5943600" cy="1395296"/>
                    </a:xfrm>
                    <a:prstGeom prst="rect"/>
                  </pic:spPr>
                </pic:pic>
              </a:graphicData>
            </a:graphic>
          </wp:inline>
        </w:drawing>
      </w:r>
      <w:r>
        <w:rPr>
          <w:b/>
        </w:rPr>
        <w:t xml:space="preserve">  Figura 4.</w:t>
      </w:r>
      <w:r>
        <w:t xml:space="preserve"> Gráfica de %ppsd y picos en los datos de la estación HEL en sus tres componentes.</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HEL | Semestre 2023-I</w:t>
          </w:r>
        </w:p>
      </w:tc>
      <w:tc>
        <w:tcPr>
          <w:tcW w:type="dxa" w:w="3402"/>
        </w:tcPr>
        <w:p/>
        <w:p>
          <w:r>
            <w:t xml:space="preserve">Sismología </w:t>
            <w:br/>
            <w:t>Por: Lina Paola Aguirre</w:t>
            <w:br/>
            <w:t>Fecha: 2023/07/19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