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Los Cordobas - LCBC HH</w:t>
        <w:br/>
        <w:br/>
      </w:r>
      <w:r>
        <w:rPr>
          <w:b/>
        </w:rPr>
        <w:t xml:space="preserve">Departamento: </w:t>
      </w:r>
      <w:r>
        <w:t>Cordoba</w:t>
      </w:r>
      <w:r>
        <w:rPr>
          <w:b/>
        </w:rPr>
        <w:t xml:space="preserve">  |  Municipio: </w:t>
      </w:r>
      <w:r>
        <w:t>Los Córdobas</w:t>
        <w:br/>
      </w:r>
      <w:r>
        <w:rPr>
          <w:b/>
        </w:rPr>
        <w:t xml:space="preserve">Coordenadas de la estación: </w:t>
      </w:r>
      <w:r>
        <w:t xml:space="preserve"> Lat. 8.857, Lon. -76.368</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STS-2, 120 s, 1500 V/m/s, generation 3 electronics</w:t>
        <w:br/>
      </w:r>
      <w:r>
        <w:rPr>
          <w:b/>
        </w:rPr>
        <w:t xml:space="preserve">Fecha inicio: </w:t>
      </w:r>
      <w:r>
        <w:t>2017-07-22 00:00:00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32.84%</w:t>
        <w:br/>
      </w:r>
      <w:r>
        <w:t>N    |    mínimo: 0.0%,    máximo: 100.0%,    promedio: 32.84%</w:t>
        <w:br/>
      </w:r>
      <w:r>
        <w:t>E    |    mínimo: 0.0%,    máximo: 100.0%,    promedio: 32.84%</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LCBC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LCBC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LCBC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LCBC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26,    máximo: 11,    promedio: 0.14</w:t>
        <w:br/>
      </w:r>
      <w:r>
        <w:t>N    |    número de gaps: 25,    máximo: 11,    promedio: 0.14</w:t>
        <w:br/>
      </w:r>
      <w:r>
        <w:t>E    |    número de gaps: 26,    máximo: 11,    promedio: 0.14</w:t>
        <w:br/>
        <w:br/>
      </w:r>
      <w:r>
        <w:rPr>
          <w:b/>
        </w:rPr>
        <w:t>Overlaps</w:t>
        <w:br/>
      </w:r>
      <w:r>
        <w:t>Z    |    número de overlaps: 13,    máximo: 4,    promedio: 0.07</w:t>
        <w:br/>
      </w:r>
      <w:r>
        <w:t>N    |    número de overlaps: 13,    máximo: 4,    promedio: 0.07</w:t>
        <w:br/>
      </w:r>
      <w:r>
        <w:t>E    |    número de overlaps: 13,    máximo: 4,    promedio: 0.07</w:t>
        <w:br/>
        <w:br/>
      </w:r>
      <w:r>
        <w:br/>
        <w:br/>
        <w:drawing>
          <wp:inline xmlns:a="http://schemas.openxmlformats.org/drawingml/2006/main" xmlns:pic="http://schemas.openxmlformats.org/drawingml/2006/picture">
            <wp:extent cx="5943600" cy="1442576"/>
            <wp:docPr id="4" name="Picture 4"/>
            <wp:cNvGraphicFramePr>
              <a:graphicFrameLocks noChangeAspect="1"/>
            </wp:cNvGraphicFramePr>
            <a:graphic>
              <a:graphicData uri="http://schemas.openxmlformats.org/drawingml/2006/picture">
                <pic:pic>
                  <pic:nvPicPr>
                    <pic:cNvPr id="0" name="gapover_LCBC_HHZ.png"/>
                    <pic:cNvPicPr/>
                  </pic:nvPicPr>
                  <pic:blipFill>
                    <a:blip r:embed="rId13"/>
                    <a:stretch>
                      <a:fillRect/>
                    </a:stretch>
                  </pic:blipFill>
                  <pic:spPr>
                    <a:xfrm>
                      <a:off x="0" y="0"/>
                      <a:ext cx="5943600" cy="1442576"/>
                    </a:xfrm>
                    <a:prstGeom prst="rect"/>
                  </pic:spPr>
                </pic:pic>
              </a:graphicData>
            </a:graphic>
          </wp:inline>
        </w:drawing>
        <w:drawing>
          <wp:inline xmlns:a="http://schemas.openxmlformats.org/drawingml/2006/main" xmlns:pic="http://schemas.openxmlformats.org/drawingml/2006/picture">
            <wp:extent cx="5943600" cy="1442576"/>
            <wp:docPr id="5" name="Picture 5"/>
            <wp:cNvGraphicFramePr>
              <a:graphicFrameLocks noChangeAspect="1"/>
            </wp:cNvGraphicFramePr>
            <a:graphic>
              <a:graphicData uri="http://schemas.openxmlformats.org/drawingml/2006/picture">
                <pic:pic>
                  <pic:nvPicPr>
                    <pic:cNvPr id="0" name="gapover_LCBC_HHN.png"/>
                    <pic:cNvPicPr/>
                  </pic:nvPicPr>
                  <pic:blipFill>
                    <a:blip r:embed="rId14"/>
                    <a:stretch>
                      <a:fillRect/>
                    </a:stretch>
                  </pic:blipFill>
                  <pic:spPr>
                    <a:xfrm>
                      <a:off x="0" y="0"/>
                      <a:ext cx="5943600" cy="1442576"/>
                    </a:xfrm>
                    <a:prstGeom prst="rect"/>
                  </pic:spPr>
                </pic:pic>
              </a:graphicData>
            </a:graphic>
          </wp:inline>
        </w:drawing>
        <w:drawing>
          <wp:inline xmlns:a="http://schemas.openxmlformats.org/drawingml/2006/main" xmlns:pic="http://schemas.openxmlformats.org/drawingml/2006/picture">
            <wp:extent cx="5943600" cy="1442576"/>
            <wp:docPr id="6" name="Picture 6"/>
            <wp:cNvGraphicFramePr>
              <a:graphicFrameLocks noChangeAspect="1"/>
            </wp:cNvGraphicFramePr>
            <a:graphic>
              <a:graphicData uri="http://schemas.openxmlformats.org/drawingml/2006/picture">
                <pic:pic>
                  <pic:nvPicPr>
                    <pic:cNvPr id="0" name="gapover_LCBC_HHE.png"/>
                    <pic:cNvPicPr/>
                  </pic:nvPicPr>
                  <pic:blipFill>
                    <a:blip r:embed="rId15"/>
                    <a:stretch>
                      <a:fillRect/>
                    </a:stretch>
                  </pic:blipFill>
                  <pic:spPr>
                    <a:xfrm>
                      <a:off x="0" y="0"/>
                      <a:ext cx="5943600" cy="1442576"/>
                    </a:xfrm>
                    <a:prstGeom prst="rect"/>
                  </pic:spPr>
                </pic:pic>
              </a:graphicData>
            </a:graphic>
          </wp:inline>
        </w:drawing>
      </w:r>
      <w:r>
        <w:rPr>
          <w:b/>
          <w:sz w:val="18"/>
        </w:rPr>
        <w:t xml:space="preserve">  Figura 2.</w:t>
      </w:r>
      <w:r>
        <w:rPr>
          <w:sz w:val="18"/>
        </w:rPr>
        <w:t xml:space="preserve">  Gráfica de gap y overlaps en los datos de la estación LCBC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-6303.5,    máximo: 3507.3,    promedio: 3249.51</w:t>
        <w:br/>
      </w:r>
      <w:r>
        <w:t>N    |    mínimo: 1174.9,    máximo: 5710.7,    promedio: 1434.29</w:t>
        <w:br/>
      </w:r>
      <w:r>
        <w:t>E    |    mínimo: -527.3,    máximo: 9985.7,    promedio: 24.65</w:t>
        <w:br/>
        <w:br/>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LCBC_HH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LCBC_HH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73936"/>
            <wp:docPr id="9" name="Picture 9"/>
            <wp:cNvGraphicFramePr>
              <a:graphicFrameLocks noChangeAspect="1"/>
            </wp:cNvGraphicFramePr>
            <a:graphic>
              <a:graphicData uri="http://schemas.openxmlformats.org/drawingml/2006/picture">
                <pic:pic>
                  <pic:nvPicPr>
                    <pic:cNvPr id="0" name="offset_LCBC_HHE.png"/>
                    <pic:cNvPicPr/>
                  </pic:nvPicPr>
                  <pic:blipFill>
                    <a:blip r:embed="rId18"/>
                    <a:stretch>
                      <a:fillRect/>
                    </a:stretch>
                  </pic:blipFill>
                  <pic:spPr>
                    <a:xfrm>
                      <a:off x="0" y="0"/>
                      <a:ext cx="5943600" cy="1473936"/>
                    </a:xfrm>
                    <a:prstGeom prst="rect"/>
                  </pic:spPr>
                </pic:pic>
              </a:graphicData>
            </a:graphic>
          </wp:inline>
        </w:drawing>
        <w:br/>
      </w:r>
      <w:r>
        <w:rPr>
          <w:b/>
          <w:sz w:val="18"/>
        </w:rPr>
        <w:t xml:space="preserve">  Figura 3.</w:t>
      </w:r>
      <w:r>
        <w:rPr>
          <w:sz w:val="18"/>
        </w:rPr>
        <w:t xml:space="preserve">  Gráfica de offset en los datos de la estación LCBC en sus tres componentes.</w:t>
        <w:br/>
        <w:br/>
      </w:r>
      <w:r>
        <w:rPr>
          <w:b/>
          <w:sz w:val="24"/>
        </w:rPr>
        <w:t>2.2 Análisis de ruido</w:t>
        <w:br/>
        <w:br/>
      </w:r>
      <w:r>
        <w:t xml:space="preserve"> </w:t>
        <w:br/>
        <w:br/>
      </w:r>
      <w:r>
        <w:rPr>
          <w:b/>
          <w:sz w:val="24"/>
        </w:rPr>
        <w:t>%ppsd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3.36,    número de picos: 37,    máximo de picos: 6</w:t>
        <w:br/>
      </w:r>
      <w:r>
        <w:t>N    |    promedio %ppsd: 8.77,    número de picos: 235,    máximo de picos: 13</w:t>
        <w:br/>
      </w:r>
      <w:r>
        <w:t>E    |    promedio %ppsd: 11.56,    número de picos: 212,    máximo de picos: 16</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LCBC_HH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85790"/>
            <wp:docPr id="11" name="Picture 11"/>
            <wp:cNvGraphicFramePr>
              <a:graphicFrameLocks noChangeAspect="1"/>
            </wp:cNvGraphicFramePr>
            <a:graphic>
              <a:graphicData uri="http://schemas.openxmlformats.org/drawingml/2006/picture">
                <pic:pic>
                  <pic:nvPicPr>
                    <pic:cNvPr id="0" name="ppsd_LCBC_HHN.png"/>
                    <pic:cNvPicPr/>
                  </pic:nvPicPr>
                  <pic:blipFill>
                    <a:blip r:embed="rId20"/>
                    <a:stretch>
                      <a:fillRect/>
                    </a:stretch>
                  </pic:blipFill>
                  <pic:spPr>
                    <a:xfrm>
                      <a:off x="0" y="0"/>
                      <a:ext cx="5943600" cy="1385790"/>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LCBC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LCBC en sus tres componentes.</w:t>
        <w:br/>
        <w:br/>
      </w:r>
      <w:r>
        <w:rPr>
          <w:b/>
          <w:sz w:val="24"/>
        </w:rPr>
        <w:t>Espectro</w:t>
        <w:br/>
        <w:br/>
        <w:br/>
        <w:br/>
      </w:r>
      <w:r>
        <w:rPr>
          <w:b/>
          <w:sz w:val="24"/>
        </w:rPr>
        <w:br/>
        <w:t>3. Última visita</w:t>
        <w:br/>
        <w:br/>
      </w:r>
      <w:r>
        <w:t xml:space="preserve">La última visita a la estación fue el  por  realizando  , </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LCBC | Semestre 2023-I</w:t>
          </w:r>
        </w:p>
      </w:tc>
      <w:tc>
        <w:tcPr>
          <w:tcW w:type="dxa" w:w="3402"/>
        </w:tcPr>
        <w:p/>
        <w:p>
          <w:r>
            <w:t xml:space="preserve">Sismología </w:t>
            <w:br/>
            <w:t>Por: Ruth Emilse Bolanos</w:t>
            <w:br/>
            <w:t>Fecha: 2023/07/21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