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Barrio Niza, Manizales - NIZA HN</w:t>
        <w:br/>
        <w:br/>
      </w:r>
      <w:r>
        <w:rPr>
          <w:b/>
        </w:rPr>
        <w:t xml:space="preserve">Departamento: </w:t>
      </w:r>
      <w:r>
        <w:t>Caldas</w:t>
      </w:r>
      <w:r>
        <w:rPr>
          <w:b/>
        </w:rPr>
        <w:t xml:space="preserve">  |  Municipio: </w:t>
      </w:r>
      <w:r>
        <w:t>Manizales</w:t>
        <w:br/>
      </w:r>
      <w:r>
        <w:rPr>
          <w:b/>
        </w:rPr>
        <w:t xml:space="preserve">Coordenadas de la estación: </w:t>
      </w:r>
      <w:r>
        <w:t xml:space="preserve"> Lat. 5.058, Lon. -75.471</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2015-07-04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97.55%</w:t>
        <w:br/>
      </w:r>
      <w:r>
        <w:t>N    |    mínimo: 0.0%,    máximo: 100.0%,    promedio: 97.55%</w:t>
        <w:br/>
      </w:r>
      <w:r>
        <w:t>E    |    mínimo: 0.0%,    máximo: 100.0%,    promedio: 98.1%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NIZA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NIZA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NIZA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NIZA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402,    máximo: 63,    promedio: 2.22</w:t>
        <w:br/>
      </w:r>
      <w:r>
        <w:t>N    |    número de gaps: 358,    máximo: 57,    promedio: 1.98</w:t>
        <w:br/>
      </w:r>
      <w:r>
        <w:t>E    |    número de gaps: 383,    máximo: 62,    promedio: 2.12</w:t>
        <w:br/>
        <w:br/>
      </w:r>
      <w:r>
        <w:rPr>
          <w:b/>
        </w:rPr>
        <w:t>Overlaps</w:t>
        <w:br/>
      </w:r>
      <w:r>
        <w:t>Z    |    número de overlaps: 0,    máximo: 0,    promedio: 0.0</w:t>
        <w:br/>
      </w:r>
      <w:r>
        <w:t>N    |    número de overlaps: 1,    máximo: 1,    promedio: 0.01</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NIZA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NIZA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NIZA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NIZA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-6432.7,    máximo: 2108.1,    promedio: -4075.32</w:t>
        <w:br/>
      </w:r>
      <w:r>
        <w:t>N    |    mínimo: 580.7,    máximo: 4174.7,    promedio: 2329.02</w:t>
        <w:br/>
      </w:r>
      <w:r>
        <w:t>E    |    mínimo: -6836.5,    máximo: 2802.2,    promedio: 895.41</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NIZA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NIZA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NIZA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NIZA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43.79,    número de picos: 23,    máximo de picos: 2</w:t>
        <w:br/>
      </w:r>
      <w:r>
        <w:t>N    |    promedio %ppsd: 39.97,    número de picos: 4,    máximo de picos: 1</w:t>
        <w:br/>
      </w:r>
      <w:r>
        <w:t>E    |    promedio %ppsd: 49.27,    número de picos: 34,    máximo de picos: 3</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NIZA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NIZA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NIZA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NIZA en sus tres componentes.</w:t>
        <w:br/>
        <w:br/>
      </w:r>
      <w:r>
        <w:rPr>
          <w:b/>
          <w:sz w:val="24"/>
        </w:rPr>
        <w:t>Espectro</w:t>
        <w:br/>
        <w:br/>
      </w:r>
      <w:r>
        <w:t xml:space="preserve"> </w:t>
        <w:br/>
        <w:br/>
        <w:br/>
        <w:br/>
      </w:r>
      <w:r>
        <w:rPr>
          <w:b/>
          <w:sz w:val="24"/>
        </w:rPr>
        <w:br/>
        <w:t>3. Última visita</w:t>
        <w:br/>
        <w:br/>
      </w:r>
      <w:r>
        <w:t>La última visita a la estación fue el 2022-05-17 por Andres Felipe Gomez realizando  mantenimiento correctivo, se cambio bateria 12v40ah, se instala radios seriales con la estación y en el sgc – manizales</w:t>
        <w:br/>
        <w:br/>
        <w:t>se retira radio con sn: 8931572 y cb: 028143 y se instala lantronix ud1100 con cb: 025205</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NIZA | Semestre 2023-I</w:t>
          </w:r>
        </w:p>
      </w:tc>
      <w:tc>
        <w:tcPr>
          <w:tcW w:type="dxa" w:w="3402"/>
        </w:tcPr>
        <w:p/>
        <w:p>
          <w:r>
            <w:t xml:space="preserve">Sismología </w:t>
            <w:br/>
            <w:t>Por: Lina Paola Aguirre</w:t>
            <w:br/>
            <w:t>Fecha: 2023/07/28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