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Jose Del Palmar - PAL HN</w:t>
        <w:br/>
        <w:br/>
      </w:r>
      <w:r>
        <w:rPr>
          <w:b/>
        </w:rPr>
        <w:t xml:space="preserve">Departamento: </w:t>
      </w:r>
      <w:r>
        <w:t>Choco</w:t>
      </w:r>
      <w:r>
        <w:rPr>
          <w:b/>
        </w:rPr>
        <w:t xml:space="preserve">  |  Municipio: </w:t>
      </w:r>
      <w:r>
        <w:t>San José Del Palmar</w:t>
        <w:br/>
      </w:r>
      <w:r>
        <w:rPr>
          <w:b/>
        </w:rPr>
        <w:t xml:space="preserve">Coordenadas de la estación: </w:t>
      </w:r>
      <w:r>
        <w:t xml:space="preserve"> Lat. 4.906, Lon. -76.282</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2021-09-24 13:22:00</w:t>
      </w:r>
      <w:r>
        <w:rPr>
          <w:b/>
        </w:rPr>
        <w:t xml:space="preserve">  |  Fecha fin: </w:t>
      </w:r>
      <w:r>
        <w:t>2599-12-31 23:59:59</w:t>
        <w:br/>
        <w:br/>
        <w:br/>
        <w:br/>
      </w:r>
      <w:r>
        <w:rPr>
          <w:b/>
          <w:sz w:val="24"/>
        </w:rPr>
        <w:t>1. Funcionamiento</w:t>
        <w:br/>
        <w:br/>
      </w:r>
      <w:r>
        <w:t>La estación funcionó optimamente hasta el 7 de octubre que presentó fallas en el sistema de energía y se perdió comunicación con la estación.</w:t>
        <w:br/>
        <w:br/>
      </w:r>
      <w:r>
        <w:rPr>
          <w:b/>
          <w:sz w:val="24"/>
        </w:rPr>
        <w:t>1.1 Disponibilidad</w:t>
        <w:br/>
        <w:br/>
      </w:r>
      <w:r>
        <w:t>El promedio de funcionamiento de la estación durante el segundo semestre fue del 53%</w:t>
        <w:br/>
      </w:r>
    </w:p>
    <w:p>
      <w:r>
        <w:rPr>
          <w:b/>
        </w:rPr>
        <w:t>Comportamiento de disponibilidad en el semestre para las tres componentes</w:t>
        <w:br/>
        <w:br/>
      </w:r>
      <w:r>
        <w:t>Z    |    mínimo: 0.0%,    máximo: 100.0%,    promedio: 52.9%</w:t>
        <w:br/>
      </w:r>
      <w:r>
        <w:t>N    |    mínimo: 0.0%,    máximo: 100.0%,    promedio: 52.9%</w:t>
        <w:br/>
      </w:r>
      <w:r>
        <w:t>E    |    mínimo: 0.0%,    máximo: 100.0%,    promedio: 52.9%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L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L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L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PAL en sus tres componentes.</w:t>
        <w:br/>
        <w:br/>
      </w:r>
      <w:r>
        <w:rPr>
          <w:b/>
          <w:sz w:val="24"/>
        </w:rPr>
        <w:t>1.2 Gaps y Overlaps</w:t>
        <w:br/>
        <w:br/>
      </w:r>
      <w:r>
        <w:t>Durante el período que estuvo funcional se presentó algunos cortes con pérdidas o gaps en los datos y se observa la presencia de overlaps</w:t>
        <w:br/>
        <w:br/>
      </w:r>
    </w:p>
    <w:p>
      <w:r>
        <w:br w:type="page"/>
      </w:r>
    </w:p>
    <w:p>
      <w:r>
        <w:rPr>
          <w:b/>
        </w:rPr>
        <w:t>Comportamiento de gaps y overlaps en el semestre para las tres componentes</w:t>
        <w:br/>
        <w:br/>
      </w:r>
      <w:r>
        <w:rPr>
          <w:b/>
        </w:rPr>
        <w:t>Gaps</w:t>
        <w:br/>
      </w:r>
      <w:r>
        <w:t>Z    |    número de gaps: 41,    máximo: 4,    promedio: 0.22</w:t>
        <w:br/>
      </w:r>
      <w:r>
        <w:t>N    |    número de gaps: 42,    máximo: 4,    promedio: 0.23</w:t>
        <w:br/>
      </w:r>
      <w:r>
        <w:t>E    |    número de gaps: 42,    máximo: 4,    promedio: 0.23</w:t>
        <w:br/>
        <w:br/>
      </w:r>
      <w:r>
        <w:rPr>
          <w:b/>
        </w:rPr>
        <w:t>Overlaps</w:t>
        <w:br/>
      </w:r>
      <w:r>
        <w:t>Z    |    número de overlaps: 29,    máximo: 3,    promedio: 0.16</w:t>
        <w:br/>
      </w:r>
      <w:r>
        <w:t>N    |    número de overlaps: 29,    máximo: 3,    promedio: 0.16</w:t>
        <w:br/>
      </w:r>
      <w:r>
        <w:t>E    |    número de overlaps: 29,    máximo: 3,    promedio: 0.16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AL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AL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AL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PAL en sus tres componentes.</w:t>
        <w:br/>
        <w:br/>
      </w:r>
      <w:r>
        <w:rPr>
          <w:b/>
          <w:sz w:val="24"/>
        </w:rPr>
        <w:t>2. Calidad</w:t>
        <w:br/>
        <w:br/>
      </w:r>
      <w:r>
        <w:t>Los datos presentan múltiples cortes pero un buen registro de eventos.</w:t>
        <w:br/>
        <w:br/>
      </w:r>
      <w:r>
        <w:rPr>
          <w:b/>
          <w:sz w:val="24"/>
        </w:rPr>
        <w:t>2.1 Offset</w:t>
        <w:br/>
        <w:br/>
      </w:r>
      <w:r>
        <w:t xml:space="preserve">Los niveles de offset de la señal presentan variaciones del offset importantes en diferentes momentos del período valorado. </w:t>
        <w:br/>
        <w:br/>
      </w:r>
      <w:r>
        <w:rPr>
          <w:b/>
        </w:rPr>
        <w:t>Comportamiento de offset en el semestre para las tres componentes</w:t>
        <w:br/>
        <w:br/>
      </w:r>
      <w:r>
        <w:t>Z    |    mínimo: -29007.4,    máximo: -9.0,    promedio: -10080.55</w:t>
        <w:br/>
      </w:r>
      <w:r>
        <w:t>N    |    mínimo: -37658.9,    máximo: -9.0,    promedio: -14713.39</w:t>
        <w:br/>
      </w:r>
      <w:r>
        <w:t>E    |    mínimo: -39650.0,    máximo: 771887.8,    promedio: 30679.83</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AL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PAL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PAL_HN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PAL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40.77,    número de picos: 99.0,    máximo de picos: 12.0</w:t>
        <w:br/>
      </w:r>
      <w:r>
        <w:t>N    |    promedio %ppsd: 40.66,    número de picos: 195.0,    máximo de picos: 13.0</w:t>
        <w:br/>
      </w:r>
      <w:r>
        <w:t>E    |    promedio %ppsd: 46.84,    número de picos: 91.0,    máximo de picos: 12.0</w:t>
        <w:br/>
        <w:br/>
      </w:r>
      <w:r>
        <w:drawing>
          <wp:inline xmlns:a="http://schemas.openxmlformats.org/drawingml/2006/main" xmlns:pic="http://schemas.openxmlformats.org/drawingml/2006/picture">
            <wp:extent cx="5943600" cy="3169920"/>
            <wp:docPr id="10" name="Picture 10"/>
            <wp:cNvGraphicFramePr>
              <a:graphicFrameLocks noChangeAspect="1"/>
            </wp:cNvGraphicFramePr>
            <a:graphic>
              <a:graphicData uri="http://schemas.openxmlformats.org/drawingml/2006/picture">
                <pic:pic>
                  <pic:nvPicPr>
                    <pic:cNvPr id="0" name="ppsd_PAL_HNZ.png"/>
                    <pic:cNvPicPr/>
                  </pic:nvPicPr>
                  <pic:blipFill>
                    <a:blip r:embed="rId19"/>
                    <a:stretch>
                      <a:fillRect/>
                    </a:stretch>
                  </pic:blipFill>
                  <pic:spPr>
                    <a:xfrm>
                      <a:off x="0" y="0"/>
                      <a:ext cx="5943600" cy="3169920"/>
                    </a:xfrm>
                    <a:prstGeom prst="rect"/>
                  </pic:spPr>
                </pic:pic>
              </a:graphicData>
            </a:graphic>
          </wp:inline>
        </w:drawing>
        <w:drawing>
          <wp:inline xmlns:a="http://schemas.openxmlformats.org/drawingml/2006/main" xmlns:pic="http://schemas.openxmlformats.org/drawingml/2006/picture">
            <wp:extent cx="5943600" cy="1385790"/>
            <wp:docPr id="11" name="Picture 11"/>
            <wp:cNvGraphicFramePr>
              <a:graphicFrameLocks noChangeAspect="1"/>
            </wp:cNvGraphicFramePr>
            <a:graphic>
              <a:graphicData uri="http://schemas.openxmlformats.org/drawingml/2006/picture">
                <pic:pic>
                  <pic:nvPicPr>
                    <pic:cNvPr id="0" name="ppsd_PAL_HNN.png"/>
                    <pic:cNvPicPr/>
                  </pic:nvPicPr>
                  <pic:blipFill>
                    <a:blip r:embed="rId20"/>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76413"/>
            <wp:docPr id="12" name="Picture 12"/>
            <wp:cNvGraphicFramePr>
              <a:graphicFrameLocks noChangeAspect="1"/>
            </wp:cNvGraphicFramePr>
            <a:graphic>
              <a:graphicData uri="http://schemas.openxmlformats.org/drawingml/2006/picture">
                <pic:pic>
                  <pic:nvPicPr>
                    <pic:cNvPr id="0" name="ppsd_PAL_HNE.png"/>
                    <pic:cNvPicPr/>
                  </pic:nvPicPr>
                  <pic:blipFill>
                    <a:blip r:embed="rId21"/>
                    <a:stretch>
                      <a:fillRect/>
                    </a:stretch>
                  </pic:blipFill>
                  <pic:spPr>
                    <a:xfrm>
                      <a:off x="0" y="0"/>
                      <a:ext cx="5943600" cy="1376413"/>
                    </a:xfrm>
                    <a:prstGeom prst="rect"/>
                  </pic:spPr>
                </pic:pic>
              </a:graphicData>
            </a:graphic>
          </wp:inline>
        </w:drawing>
      </w:r>
      <w:r>
        <w:rPr>
          <w:b/>
          <w:sz w:val="18"/>
        </w:rPr>
        <w:t xml:space="preserve">  Figura 4.</w:t>
      </w:r>
      <w:r>
        <w:rPr>
          <w:sz w:val="18"/>
        </w:rPr>
        <w:t xml:space="preserve"> Gráfica de %ppsd y picos en los datos de la estación PAL en sus tres componentes.</w:t>
        <w:br/>
        <w:br/>
      </w:r>
      <w:r>
        <w:rPr>
          <w:b/>
          <w:sz w:val="24"/>
        </w:rPr>
        <w:t>Espectro</w:t>
        <w:br/>
        <w:br/>
      </w:r>
      <w:r>
        <w:t xml:space="preserve">El análisis de ruido evidencia que las tres componentes presentan un comportamiento normal de un acelerógrafo hasta la pérdida total de la señal. </w:t>
        <w:br/>
        <w:t>El %ppsd es superior a 40 para todas las componentes lo que indica un comportamiento no ideal de la señal, el cual puede estar asociado a los picos que se presentan por cortes y gaps.</w:t>
        <w:br/>
        <w:br/>
        <w:br/>
        <w:br/>
        <w:br/>
      </w:r>
      <w:r>
        <w:drawing>
          <wp:inline xmlns:a="http://schemas.openxmlformats.org/drawingml/2006/main" xmlns:pic="http://schemas.openxmlformats.org/drawingml/2006/picture">
            <wp:extent cx="4572000" cy="230596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PAL.</w:t>
        <w:br/>
        <w:br/>
      </w:r>
      <w:r>
        <w:drawing>
          <wp:inline xmlns:a="http://schemas.openxmlformats.org/drawingml/2006/main" xmlns:pic="http://schemas.openxmlformats.org/drawingml/2006/picture">
            <wp:extent cx="4572000" cy="230596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305965"/>
                    </a:xfrm>
                    <a:prstGeom prst="rect"/>
                  </pic:spPr>
                </pic:pic>
              </a:graphicData>
            </a:graphic>
          </wp:inline>
        </w:drawing>
      </w:r>
      <w:r>
        <w:rPr>
          <w:b/>
          <w:sz w:val="18"/>
        </w:rPr>
        <w:br/>
        <w:t>Figura 6.</w:t>
      </w:r>
      <w:r>
        <w:rPr>
          <w:sz w:val="18"/>
        </w:rPr>
        <w:t xml:space="preserve"> Espectro de ruido en los datos de la estación PAL.</w:t>
        <w:br/>
        <w:br/>
      </w:r>
      <w:r>
        <w:drawing>
          <wp:inline xmlns:a="http://schemas.openxmlformats.org/drawingml/2006/main" xmlns:pic="http://schemas.openxmlformats.org/drawingml/2006/picture">
            <wp:extent cx="4572000" cy="230094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300941"/>
                    </a:xfrm>
                    <a:prstGeom prst="rect"/>
                  </pic:spPr>
                </pic:pic>
              </a:graphicData>
            </a:graphic>
          </wp:inline>
        </w:drawing>
      </w:r>
      <w:r>
        <w:rPr>
          <w:b/>
          <w:sz w:val="18"/>
        </w:rPr>
        <w:br/>
        <w:t>Figura 7.</w:t>
      </w:r>
      <w:r>
        <w:rPr>
          <w:sz w:val="18"/>
        </w:rPr>
        <w:t xml:space="preserve"> Espectro de ruido en los datos de la estación PAL.</w:t>
        <w:br/>
        <w:br/>
      </w:r>
      <w:r>
        <w:rPr>
          <w:b/>
          <w:sz w:val="24"/>
        </w:rPr>
        <w:br/>
        <w:t>3. Última visita</w:t>
        <w:br/>
        <w:br/>
      </w:r>
      <w:r>
        <w:t>La última visita a la estación fue el 2022-09-11 por Oscar Suarez realizando  mantenimiento correctivo, se instalan paneles cod_064143 y 064144, (2) baterias, se instala pararrayos, se limpian paneles y zona alrededor caseta, se retiran radios cod. 063690, 063691 y se instalan cod. 025198 y 046596, se limpia antena y se deja gps fuera del bunker. pendiente: llevar gabinete para instalar y cambiar alambre de puas alrededor bunker.</w:t>
        <w:br/>
        <w:br/>
        <w:br/>
        <w:br/>
      </w:r>
      <w:r>
        <w:rPr>
          <w:b/>
          <w:sz w:val="24"/>
        </w:rPr>
        <w:t>4. Recomendaciones</w:t>
        <w:br/>
        <w:br/>
      </w:r>
      <w:r>
        <w:t>Se debe revisar el sistema de transmisión para evitar los cortes en la señal del acelerógrafo.</w:t>
        <w:br/>
        <w:br/>
      </w:r>
      <w:r>
        <w:drawing>
          <wp:inline xmlns:a="http://schemas.openxmlformats.org/drawingml/2006/main" xmlns:pic="http://schemas.openxmlformats.org/drawingml/2006/picture">
            <wp:extent cx="4572000" cy="2435726"/>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435726"/>
                    </a:xfrm>
                    <a:prstGeom prst="rect"/>
                  </pic:spPr>
                </pic:pic>
              </a:graphicData>
            </a:graphic>
          </wp:inline>
        </w:drawing>
      </w:r>
      <w:r>
        <w:rPr>
          <w:b/>
          <w:sz w:val="18"/>
        </w:rPr>
        <w:br/>
        <w:t xml:space="preserve">Figura 8. </w:t>
      </w:r>
      <w:r>
        <w:rPr>
          <w:sz w:val="18"/>
        </w:rPr>
        <w:t xml:space="preserve"> Imagen de apoyo de la estación PAL.</w:t>
        <w:br/>
        <w:br/>
      </w:r>
      <w:r>
        <w:drawing>
          <wp:inline xmlns:a="http://schemas.openxmlformats.org/drawingml/2006/main" xmlns:pic="http://schemas.openxmlformats.org/drawingml/2006/picture">
            <wp:extent cx="4572000" cy="2005473"/>
            <wp:docPr id="17" name="Picture 17"/>
            <wp:cNvGraphicFramePr>
              <a:graphicFrameLocks noChangeAspect="1"/>
            </wp:cNvGraphicFramePr>
            <a:graphic>
              <a:graphicData uri="http://schemas.openxmlformats.org/drawingml/2006/picture">
                <pic:pic>
                  <pic:nvPicPr>
                    <pic:cNvPr id="0" name="img_recom_2.png"/>
                    <pic:cNvPicPr/>
                  </pic:nvPicPr>
                  <pic:blipFill>
                    <a:blip r:embed="rId26"/>
                    <a:stretch>
                      <a:fillRect/>
                    </a:stretch>
                  </pic:blipFill>
                  <pic:spPr>
                    <a:xfrm>
                      <a:off x="0" y="0"/>
                      <a:ext cx="4572000" cy="2005473"/>
                    </a:xfrm>
                    <a:prstGeom prst="rect"/>
                  </pic:spPr>
                </pic:pic>
              </a:graphicData>
            </a:graphic>
          </wp:inline>
        </w:drawing>
      </w:r>
      <w:r>
        <w:rPr>
          <w:b/>
          <w:sz w:val="18"/>
        </w:rPr>
        <w:br/>
        <w:t xml:space="preserve">Figura 9. </w:t>
      </w:r>
      <w:r>
        <w:rPr>
          <w:sz w:val="18"/>
        </w:rPr>
        <w:t xml:space="preserve"> Imagen de apoyo de la estación PAL.</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PAL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