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Planadas - PLNC HN</w:t>
        <w:br/>
        <w:br/>
      </w:r>
      <w:r>
        <w:rPr>
          <w:b/>
        </w:rPr>
        <w:t xml:space="preserve">Departamento: </w:t>
      </w:r>
      <w:r>
        <w:t>Tolima</w:t>
      </w:r>
      <w:r>
        <w:rPr>
          <w:b/>
        </w:rPr>
        <w:t xml:space="preserve">  |  Municipio: </w:t>
      </w:r>
      <w:r>
        <w:t>Planadas</w:t>
        <w:br/>
      </w:r>
      <w:r>
        <w:rPr>
          <w:b/>
        </w:rPr>
        <w:t xml:space="preserve">Coordenadas de la estación: </w:t>
      </w:r>
      <w:r>
        <w:t xml:space="preserve"> Lat. 3.194, Lon. -75.645</w:t>
        <w:br/>
      </w:r>
      <w:r>
        <w:rPr>
          <w:b/>
        </w:rPr>
        <w:t xml:space="preserve">Tipo de transmisión: </w:t>
      </w:r>
      <w:r>
        <w:t>Satelital</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2019-09-22 05:00:00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59.04%</w:t>
        <w:br/>
      </w:r>
      <w:r>
        <w:t>N    |    mínimo: 0.0%,    máximo: 100.0%,    promedio: 59.02%</w:t>
        <w:br/>
      </w:r>
      <w:r>
        <w:t>E    |    mínimo: 0.0%,    máximo: 100.0%,    promedio: 59.02%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LN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LN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LN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PLNC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81,    máximo: 5,    promedio: 0.47</w:t>
        <w:br/>
      </w:r>
      <w:r>
        <w:t>N    |    número de gaps: 84,    máximo: 5,    promedio: 0.48</w:t>
        <w:br/>
      </w:r>
      <w:r>
        <w:t>E    |    número de gaps: 84,    máximo: 5,    promedio: 0.48</w:t>
        <w:br/>
        <w:br/>
      </w:r>
      <w:r>
        <w:rPr>
          <w:b/>
        </w:rPr>
        <w:t>Overlaps</w:t>
        <w:br/>
      </w:r>
      <w:r>
        <w:t>Z    |    número de overlaps: 2,    máximo: 1,    promedio: 0.01</w:t>
        <w:br/>
      </w:r>
      <w:r>
        <w:t>N    |    número de overlaps: 3,    máximo: 2,    promedio: 0.02</w:t>
        <w:br/>
      </w:r>
      <w:r>
        <w:t>E    |    número de overlaps: 3,    máximo: 1,    promedio: 0.02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LN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LN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LN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PLNC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-3545.1,    máximo: 9699.8,    promedio: 1962.11</w:t>
        <w:br/>
      </w:r>
      <w:r>
        <w:t>N    |    mínimo: -4869.7,    máximo: 3174.0,    promedio: -403.7</w:t>
        <w:br/>
      </w:r>
      <w:r>
        <w:t>E    |    mínimo: -2065.5,    máximo: 18407.8,    promedio: 5317.71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PLN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LN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PLNC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PLNC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49.66,    número de picos: 11.0,    máximo de picos: 1.0</w:t>
        <w:br/>
      </w:r>
      <w:r>
        <w:t>N    |    promedio %ppsd: 49.81,    número de picos: 16.0,    máximo de picos: 3.0</w:t>
        <w:br/>
      </w:r>
      <w:r>
        <w:t>E    |    promedio %ppsd: 64.76,    número de picos: 21.0,    máximo de picos: 6.0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LN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LN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LN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PLNC en sus tres componentes.</w:t>
        <w:br/>
        <w:br/>
      </w:r>
      <w:r>
        <w:rPr>
          <w:b/>
          <w:sz w:val="24"/>
        </w:rPr>
        <w:t>Espectro</w:t>
        <w:br/>
        <w:br/>
      </w:r>
      <w:r>
        <w:t xml:space="preserve"> </w:t>
        <w:br/>
        <w:br/>
        <w:br/>
        <w:br/>
      </w:r>
      <w:r>
        <w:rPr>
          <w:b/>
          <w:sz w:val="24"/>
        </w:rPr>
        <w:br/>
        <w:t>3. Última visita</w:t>
        <w:br/>
        <w:br/>
      </w:r>
      <w:r>
        <w:t>La última visita a la estación fue el 2023-04-17 por Andres Felipe Gomez realizando  mantenimiento correctivo, se reconfigura el digitaliz. basalt con el newatcher 10.100.100.226, se verifican conexiones electricas.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PLNC | Semestre 2023-II</w:t>
          </w:r>
        </w:p>
      </w:tc>
      <w:tc>
        <w:tcPr>
          <w:tcW w:type="dxa" w:w="3402"/>
        </w:tcPr>
        <w:p/>
        <w:p>
          <w:r>
            <w:t xml:space="preserve">Sismología </w:t>
            <w:br/>
            <w:t>Por: Ruth Emilse Bolanos</w:t>
            <w:br/>
            <w:t>Fecha: 2024/01/25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