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br/>
        <w:br/>
      </w:r>
      <w:r>
        <w:rPr>
          <w:b/>
          <w:sz w:val="24"/>
        </w:rPr>
        <w:t>Estación Popayan - POP2 HH</w:t>
        <w:br/>
        <w:br/>
      </w:r>
      <w:r>
        <w:rPr>
          <w:b/>
        </w:rPr>
        <w:t xml:space="preserve">Departamento: </w:t>
      </w:r>
      <w:r>
        <w:t>Cauca</w:t>
      </w:r>
      <w:r>
        <w:rPr>
          <w:b/>
        </w:rPr>
        <w:t xml:space="preserve">  |  Municipio: </w:t>
      </w:r>
      <w:r>
        <w:t>Popayán</w:t>
        <w:br/>
      </w:r>
      <w:r>
        <w:rPr>
          <w:b/>
        </w:rPr>
        <w:t xml:space="preserve">Coordenadas de la estación: </w:t>
      </w:r>
      <w:r>
        <w:t xml:space="preserve"> Lat. 2.54, Lon. -76.676</w:t>
        <w:br/>
      </w:r>
      <w:r>
        <w:rPr>
          <w:b/>
        </w:rPr>
        <w:t xml:space="preserve">Tipo de transmisión: </w:t>
      </w:r>
      <w:r>
        <w:t>Satelital</w:t>
      </w:r>
      <w:r>
        <w:rPr>
          <w:b/>
        </w:rPr>
        <w:t xml:space="preserve">  |  Tipo de adquisición: </w:t>
      </w:r>
      <w:r>
        <w:t>Tiempo Real</w:t>
        <w:br/>
      </w:r>
      <w:r>
        <w:rPr>
          <w:b/>
        </w:rPr>
        <w:t xml:space="preserve">Condición de instalación: </w:t>
      </w:r>
      <w:r>
        <w:t>Bunker</w:t>
      </w:r>
      <w:r>
        <w:rPr>
          <w:b/>
        </w:rPr>
        <w:t xml:space="preserve">  |  Tipo de estación: </w:t>
      </w:r>
      <w:r>
        <w:t>Permanente</w:t>
        <w:br/>
        <w:br/>
      </w:r>
      <w:r>
        <w:rPr>
          <w:b/>
        </w:rPr>
        <w:t xml:space="preserve">Sensor de banda ancha - 00 </w:t>
      </w:r>
      <w:r>
        <w:br/>
      </w:r>
      <w:r>
        <w:rPr>
          <w:b/>
        </w:rPr>
        <w:t xml:space="preserve">Sensor y digitalizador: </w:t>
      </w:r>
      <w:r>
        <w:t>CMG-5T, DC_100 s,  0.255 V/m/s**2, 4g clip level,</w:t>
        <w:br/>
      </w:r>
      <w:r>
        <w:rPr>
          <w:b/>
        </w:rPr>
        <w:t xml:space="preserve">Fecha inicio: </w:t>
      </w:r>
      <w:r>
        <w:t>2019-07-12 15:54:00</w:t>
      </w:r>
      <w:r>
        <w:rPr>
          <w:b/>
        </w:rPr>
        <w:t xml:space="preserve">  |  Fecha fin: </w:t>
      </w:r>
      <w:r>
        <w:t>2599-12-31 23:59:59</w:t>
        <w:br/>
        <w:br/>
        <w:br/>
        <w:br/>
      </w:r>
      <w:r>
        <w:rPr>
          <w:b/>
          <w:sz w:val="24"/>
        </w:rPr>
        <w:t>1. Funcionamiento</w:t>
        <w:br/>
        <w:br/>
      </w:r>
      <w:r>
        <w:t xml:space="preserve"> </w:t>
        <w:br/>
        <w:br/>
      </w:r>
      <w:r>
        <w:rPr>
          <w:b/>
          <w:sz w:val="24"/>
        </w:rPr>
        <w:t>1.1 Disponibilidad</w:t>
        <w:br/>
        <w:br/>
      </w:r>
      <w:r>
        <w:t xml:space="preserve"> </w:t>
        <w:br/>
      </w:r>
    </w:p>
    <w:p>
      <w:r>
        <w:rPr>
          <w:b/>
        </w:rPr>
        <w:t>Comportamiento de disponibilidad en el semestre para las tres componentes</w:t>
        <w:br/>
        <w:br/>
      </w:r>
      <w:r>
        <w:t>Z    |    mínimo: 0.0%,    máximo: 100.0%,    promedio: 63.24%</w:t>
        <w:br/>
      </w:r>
      <w:r>
        <w:t>N    |    mínimo: 0.0%,    máximo: 100.0%,    promedio: 63.24%</w:t>
        <w:br/>
      </w:r>
      <w:r>
        <w:t>E    |    mínimo: 0.0%,    máximo: 100.0%,    promedio: 63.24%</w:t>
      </w:r>
      <w:r>
        <w:br/>
        <w:br/>
        <w:drawing>
          <wp:inline xmlns:a="http://schemas.openxmlformats.org/drawingml/2006/main" xmlns:pic="http://schemas.openxmlformats.org/drawingml/2006/picture">
            <wp:extent cx="5943600" cy="1075883"/>
            <wp:docPr id="1" name="Picture 1"/>
            <wp:cNvGraphicFramePr>
              <a:graphicFrameLocks noChangeAspect="1"/>
            </wp:cNvGraphicFramePr>
            <a:graphic>
              <a:graphicData uri="http://schemas.openxmlformats.org/drawingml/2006/picture">
                <pic:pic>
                  <pic:nvPicPr>
                    <pic:cNvPr id="0" name="disp_POP2_HHZ.png"/>
                    <pic:cNvPicPr/>
                  </pic:nvPicPr>
                  <pic:blipFill>
                    <a:blip r:embed="rId10"/>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2" name="Picture 2"/>
            <wp:cNvGraphicFramePr>
              <a:graphicFrameLocks noChangeAspect="1"/>
            </wp:cNvGraphicFramePr>
            <a:graphic>
              <a:graphicData uri="http://schemas.openxmlformats.org/drawingml/2006/picture">
                <pic:pic>
                  <pic:nvPicPr>
                    <pic:cNvPr id="0" name="disp_POP2_HHN.png"/>
                    <pic:cNvPicPr/>
                  </pic:nvPicPr>
                  <pic:blipFill>
                    <a:blip r:embed="rId11"/>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3" name="Picture 3"/>
            <wp:cNvGraphicFramePr>
              <a:graphicFrameLocks noChangeAspect="1"/>
            </wp:cNvGraphicFramePr>
            <a:graphic>
              <a:graphicData uri="http://schemas.openxmlformats.org/drawingml/2006/picture">
                <pic:pic>
                  <pic:nvPicPr>
                    <pic:cNvPr id="0" name="disp_POP2_HHE.png"/>
                    <pic:cNvPicPr/>
                  </pic:nvPicPr>
                  <pic:blipFill>
                    <a:blip r:embed="rId12"/>
                    <a:stretch>
                      <a:fillRect/>
                    </a:stretch>
                  </pic:blipFill>
                  <pic:spPr>
                    <a:xfrm>
                      <a:off x="0" y="0"/>
                      <a:ext cx="5943600" cy="1075883"/>
                    </a:xfrm>
                    <a:prstGeom prst="rect"/>
                  </pic:spPr>
                </pic:pic>
              </a:graphicData>
            </a:graphic>
          </wp:inline>
        </w:drawing>
      </w:r>
      <w:r>
        <w:rPr>
          <w:b/>
          <w:sz w:val="18"/>
        </w:rPr>
        <w:t xml:space="preserve">  Figura 1.</w:t>
      </w:r>
      <w:r>
        <w:rPr>
          <w:sz w:val="18"/>
        </w:rPr>
        <w:t xml:space="preserve"> Gráfica de disponibilidad en los datos de la estación POP2 en sus tres componentes.</w:t>
        <w:br/>
        <w:br/>
      </w:r>
      <w:r>
        <w:rPr>
          <w:b/>
          <w:sz w:val="24"/>
        </w:rPr>
        <w:t>1.2 Gaps y Overlaps</w:t>
        <w:br/>
        <w:br/>
      </w:r>
      <w:r>
        <w:t xml:space="preserve"> </w:t>
        <w:br/>
        <w:br/>
      </w:r>
    </w:p>
    <w:p>
      <w:r>
        <w:br w:type="page"/>
      </w:r>
    </w:p>
    <w:p>
      <w:r>
        <w:rPr>
          <w:b/>
        </w:rPr>
        <w:t>Comportamiento de gaps y overlaps en el semestre para las tres componentes</w:t>
        <w:br/>
        <w:br/>
      </w:r>
      <w:r>
        <w:rPr>
          <w:b/>
        </w:rPr>
        <w:t>Gaps</w:t>
        <w:br/>
      </w:r>
      <w:r>
        <w:t>Z    |    número de gaps: 45,    máximo: 3,    promedio: 0.26</w:t>
        <w:br/>
      </w:r>
      <w:r>
        <w:t>N    |    número de gaps: 48,    máximo: 3,    promedio: 0.28</w:t>
        <w:br/>
      </w:r>
      <w:r>
        <w:t>E    |    número de gaps: 48,    máximo: 3,    promedio: 0.28</w:t>
        <w:br/>
        <w:br/>
      </w:r>
      <w:r>
        <w:rPr>
          <w:b/>
        </w:rPr>
        <w:t>Overlaps</w:t>
        <w:br/>
      </w:r>
      <w:r>
        <w:t>Z    |    número de overlaps: 30,    máximo: 4,    promedio: 0.17</w:t>
        <w:br/>
      </w:r>
      <w:r>
        <w:t>N    |    número de overlaps: 31,    máximo: 4,    promedio: 0.18</w:t>
        <w:br/>
      </w:r>
      <w:r>
        <w:t>E    |    número de overlaps: 31,    máximo: 4,    promedio: 0.18</w:t>
        <w:br/>
        <w:br/>
      </w:r>
      <w:r>
        <w:br/>
        <w:br/>
        <w:drawing>
          <wp:inline xmlns:a="http://schemas.openxmlformats.org/drawingml/2006/main" xmlns:pic="http://schemas.openxmlformats.org/drawingml/2006/picture">
            <wp:extent cx="5943600" cy="1468026"/>
            <wp:docPr id="4" name="Picture 4"/>
            <wp:cNvGraphicFramePr>
              <a:graphicFrameLocks noChangeAspect="1"/>
            </wp:cNvGraphicFramePr>
            <a:graphic>
              <a:graphicData uri="http://schemas.openxmlformats.org/drawingml/2006/picture">
                <pic:pic>
                  <pic:nvPicPr>
                    <pic:cNvPr id="0" name="gapover_POP2_HHZ.png"/>
                    <pic:cNvPicPr/>
                  </pic:nvPicPr>
                  <pic:blipFill>
                    <a:blip r:embed="rId13"/>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5" name="Picture 5"/>
            <wp:cNvGraphicFramePr>
              <a:graphicFrameLocks noChangeAspect="1"/>
            </wp:cNvGraphicFramePr>
            <a:graphic>
              <a:graphicData uri="http://schemas.openxmlformats.org/drawingml/2006/picture">
                <pic:pic>
                  <pic:nvPicPr>
                    <pic:cNvPr id="0" name="gapover_POP2_HHN.png"/>
                    <pic:cNvPicPr/>
                  </pic:nvPicPr>
                  <pic:blipFill>
                    <a:blip r:embed="rId14"/>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6" name="Picture 6"/>
            <wp:cNvGraphicFramePr>
              <a:graphicFrameLocks noChangeAspect="1"/>
            </wp:cNvGraphicFramePr>
            <a:graphic>
              <a:graphicData uri="http://schemas.openxmlformats.org/drawingml/2006/picture">
                <pic:pic>
                  <pic:nvPicPr>
                    <pic:cNvPr id="0" name="gapover_POP2_HHE.png"/>
                    <pic:cNvPicPr/>
                  </pic:nvPicPr>
                  <pic:blipFill>
                    <a:blip r:embed="rId15"/>
                    <a:stretch>
                      <a:fillRect/>
                    </a:stretch>
                  </pic:blipFill>
                  <pic:spPr>
                    <a:xfrm>
                      <a:off x="0" y="0"/>
                      <a:ext cx="5943600" cy="1468026"/>
                    </a:xfrm>
                    <a:prstGeom prst="rect"/>
                  </pic:spPr>
                </pic:pic>
              </a:graphicData>
            </a:graphic>
          </wp:inline>
        </w:drawing>
      </w:r>
      <w:r>
        <w:rPr>
          <w:b/>
          <w:sz w:val="18"/>
        </w:rPr>
        <w:t xml:space="preserve">  Figura 2.</w:t>
      </w:r>
      <w:r>
        <w:rPr>
          <w:sz w:val="18"/>
        </w:rPr>
        <w:t xml:space="preserve">  Gráfica de gap y overlaps en los datos de la estación POP2 en sus tres componentes.</w:t>
        <w:br/>
        <w:br/>
      </w:r>
      <w:r>
        <w:rPr>
          <w:b/>
          <w:sz w:val="24"/>
        </w:rPr>
        <w:t>2. Calidad</w:t>
        <w:br/>
        <w:br/>
      </w:r>
      <w:r>
        <w:t xml:space="preserve"> </w:t>
        <w:br/>
        <w:br/>
      </w:r>
      <w:r>
        <w:rPr>
          <w:b/>
          <w:sz w:val="24"/>
        </w:rPr>
        <w:t>2.1 Offset</w:t>
        <w:br/>
        <w:br/>
      </w:r>
      <w:r>
        <w:t xml:space="preserve"> </w:t>
        <w:br/>
        <w:br/>
      </w:r>
      <w:r>
        <w:rPr>
          <w:b/>
        </w:rPr>
        <w:t>Comportamiento de offset en el semestre para las tres componentes</w:t>
        <w:br/>
        <w:br/>
      </w:r>
      <w:r>
        <w:t>Z    |    mínimo: -14188.3,    máximo: -9.0,    promedio: -4943.38</w:t>
        <w:br/>
      </w:r>
      <w:r>
        <w:t>N    |    mínimo: -13427.2,    máximo: -9.0,    promedio: -8360.76</w:t>
        <w:br/>
      </w:r>
      <w:r>
        <w:t>E    |    mínimo: -49548.8,    máximo: -9.0,    promedio: -31456.17</w:t>
        <w:br/>
        <w:br/>
      </w:r>
      <w:r>
        <w:br/>
        <w:drawing>
          <wp:inline xmlns:a="http://schemas.openxmlformats.org/drawingml/2006/main" xmlns:pic="http://schemas.openxmlformats.org/drawingml/2006/picture">
            <wp:extent cx="5943600" cy="1439174"/>
            <wp:docPr id="7" name="Picture 7"/>
            <wp:cNvGraphicFramePr>
              <a:graphicFrameLocks noChangeAspect="1"/>
            </wp:cNvGraphicFramePr>
            <a:graphic>
              <a:graphicData uri="http://schemas.openxmlformats.org/drawingml/2006/picture">
                <pic:pic>
                  <pic:nvPicPr>
                    <pic:cNvPr id="0" name="offset_POP2_HHZ.png"/>
                    <pic:cNvPicPr/>
                  </pic:nvPicPr>
                  <pic:blipFill>
                    <a:blip r:embed="rId16"/>
                    <a:stretch>
                      <a:fillRect/>
                    </a:stretch>
                  </pic:blipFill>
                  <pic:spPr>
                    <a:xfrm>
                      <a:off x="0" y="0"/>
                      <a:ext cx="5943600" cy="1439174"/>
                    </a:xfrm>
                    <a:prstGeom prst="rect"/>
                  </pic:spPr>
                </pic:pic>
              </a:graphicData>
            </a:graphic>
          </wp:inline>
        </w:drawing>
        <w:drawing>
          <wp:inline xmlns:a="http://schemas.openxmlformats.org/drawingml/2006/main" xmlns:pic="http://schemas.openxmlformats.org/drawingml/2006/picture">
            <wp:extent cx="5943600" cy="1439174"/>
            <wp:docPr id="8" name="Picture 8"/>
            <wp:cNvGraphicFramePr>
              <a:graphicFrameLocks noChangeAspect="1"/>
            </wp:cNvGraphicFramePr>
            <a:graphic>
              <a:graphicData uri="http://schemas.openxmlformats.org/drawingml/2006/picture">
                <pic:pic>
                  <pic:nvPicPr>
                    <pic:cNvPr id="0" name="offset_POP2_HHN.png"/>
                    <pic:cNvPicPr/>
                  </pic:nvPicPr>
                  <pic:blipFill>
                    <a:blip r:embed="rId17"/>
                    <a:stretch>
                      <a:fillRect/>
                    </a:stretch>
                  </pic:blipFill>
                  <pic:spPr>
                    <a:xfrm>
                      <a:off x="0" y="0"/>
                      <a:ext cx="5943600" cy="1439174"/>
                    </a:xfrm>
                    <a:prstGeom prst="rect"/>
                  </pic:spPr>
                </pic:pic>
              </a:graphicData>
            </a:graphic>
          </wp:inline>
        </w:drawing>
        <w:drawing>
          <wp:inline xmlns:a="http://schemas.openxmlformats.org/drawingml/2006/main" xmlns:pic="http://schemas.openxmlformats.org/drawingml/2006/picture">
            <wp:extent cx="5943600" cy="1439174"/>
            <wp:docPr id="9" name="Picture 9"/>
            <wp:cNvGraphicFramePr>
              <a:graphicFrameLocks noChangeAspect="1"/>
            </wp:cNvGraphicFramePr>
            <a:graphic>
              <a:graphicData uri="http://schemas.openxmlformats.org/drawingml/2006/picture">
                <pic:pic>
                  <pic:nvPicPr>
                    <pic:cNvPr id="0" name="offset_POP2_HHE.png"/>
                    <pic:cNvPicPr/>
                  </pic:nvPicPr>
                  <pic:blipFill>
                    <a:blip r:embed="rId18"/>
                    <a:stretch>
                      <a:fillRect/>
                    </a:stretch>
                  </pic:blipFill>
                  <pic:spPr>
                    <a:xfrm>
                      <a:off x="0" y="0"/>
                      <a:ext cx="5943600" cy="1439174"/>
                    </a:xfrm>
                    <a:prstGeom prst="rect"/>
                  </pic:spPr>
                </pic:pic>
              </a:graphicData>
            </a:graphic>
          </wp:inline>
        </w:drawing>
        <w:br/>
      </w:r>
      <w:r>
        <w:rPr>
          <w:b/>
          <w:sz w:val="18"/>
        </w:rPr>
        <w:t xml:space="preserve">  Figura 3.</w:t>
      </w:r>
      <w:r>
        <w:rPr>
          <w:sz w:val="18"/>
        </w:rPr>
        <w:t xml:space="preserve">  Gráfica de offset en los datos de la estación POP2 en sus tres componentes.</w:t>
        <w:br/>
        <w:br/>
      </w:r>
      <w:r>
        <w:rPr>
          <w:b/>
          <w:sz w:val="24"/>
        </w:rPr>
        <w:t>2.2 Análisis de ruido</w:t>
        <w:br/>
        <w:br/>
      </w:r>
      <w:r>
        <w:rPr>
          <w:b/>
          <w:sz w:val="24"/>
        </w:rPr>
        <w:t>Porcentaje fuera de las curvas de Peterson de la media del espectro probabilístico de densidad de potencia (%PPSD) y picos</w:t>
        <w:br/>
        <w:br/>
      </w:r>
      <w:r>
        <w:t>El %ppsd es el porcentaje de cuánto de la media del espectro de ruido de la estación se encuentra por fuera de las curvas de Peterson, Para las estaciones de banda ancha este %ppsd se espera que esté alrededor del 0% y esto nos dirá que las frecuencias registradas se encuentran dentro de lo normal o no.</w:t>
        <w:br/>
        <w:br/>
      </w:r>
      <w:r>
        <w:rPr>
          <w:b/>
        </w:rPr>
        <w:t>Comportamiento del %ppsd y picos en el semestre para las tres componentes.</w:t>
        <w:br/>
        <w:br/>
      </w:r>
      <w:r>
        <w:t>Z    |    promedio %ppsd: 0.0,    número de picos: 159.0,    máximo de picos: 9.0</w:t>
        <w:br/>
      </w:r>
      <w:r>
        <w:t>N    |    promedio %ppsd: 0.09,    número de picos: 198.0,    máximo de picos: 11.0</w:t>
        <w:br/>
      </w:r>
      <w:r>
        <w:t>E    |    promedio %ppsd: 0.05,    número de picos: 185.0,    máximo de picos: 12.0</w:t>
        <w:br/>
        <w:br/>
      </w:r>
      <w:r>
        <w:drawing>
          <wp:inline xmlns:a="http://schemas.openxmlformats.org/drawingml/2006/main" xmlns:pic="http://schemas.openxmlformats.org/drawingml/2006/picture">
            <wp:extent cx="5943600" cy="1382650"/>
            <wp:docPr id="10" name="Picture 10"/>
            <wp:cNvGraphicFramePr>
              <a:graphicFrameLocks noChangeAspect="1"/>
            </wp:cNvGraphicFramePr>
            <a:graphic>
              <a:graphicData uri="http://schemas.openxmlformats.org/drawingml/2006/picture">
                <pic:pic>
                  <pic:nvPicPr>
                    <pic:cNvPr id="0" name="ppsd_POP2_HHZ.png"/>
                    <pic:cNvPicPr/>
                  </pic:nvPicPr>
                  <pic:blipFill>
                    <a:blip r:embed="rId19"/>
                    <a:stretch>
                      <a:fillRect/>
                    </a:stretch>
                  </pic:blipFill>
                  <pic:spPr>
                    <a:xfrm>
                      <a:off x="0" y="0"/>
                      <a:ext cx="5943600" cy="1382650"/>
                    </a:xfrm>
                    <a:prstGeom prst="rect"/>
                  </pic:spPr>
                </pic:pic>
              </a:graphicData>
            </a:graphic>
          </wp:inline>
        </w:drawing>
        <w:drawing>
          <wp:inline xmlns:a="http://schemas.openxmlformats.org/drawingml/2006/main" xmlns:pic="http://schemas.openxmlformats.org/drawingml/2006/picture">
            <wp:extent cx="5943600" cy="1385790"/>
            <wp:docPr id="11" name="Picture 11"/>
            <wp:cNvGraphicFramePr>
              <a:graphicFrameLocks noChangeAspect="1"/>
            </wp:cNvGraphicFramePr>
            <a:graphic>
              <a:graphicData uri="http://schemas.openxmlformats.org/drawingml/2006/picture">
                <pic:pic>
                  <pic:nvPicPr>
                    <pic:cNvPr id="0" name="ppsd_POP2_HHN.png"/>
                    <pic:cNvPicPr/>
                  </pic:nvPicPr>
                  <pic:blipFill>
                    <a:blip r:embed="rId20"/>
                    <a:stretch>
                      <a:fillRect/>
                    </a:stretch>
                  </pic:blipFill>
                  <pic:spPr>
                    <a:xfrm>
                      <a:off x="0" y="0"/>
                      <a:ext cx="5943600" cy="1385790"/>
                    </a:xfrm>
                    <a:prstGeom prst="rect"/>
                  </pic:spPr>
                </pic:pic>
              </a:graphicData>
            </a:graphic>
          </wp:inline>
        </w:drawing>
        <w:drawing>
          <wp:inline xmlns:a="http://schemas.openxmlformats.org/drawingml/2006/main" xmlns:pic="http://schemas.openxmlformats.org/drawingml/2006/picture">
            <wp:extent cx="5943600" cy="1395296"/>
            <wp:docPr id="12" name="Picture 12"/>
            <wp:cNvGraphicFramePr>
              <a:graphicFrameLocks noChangeAspect="1"/>
            </wp:cNvGraphicFramePr>
            <a:graphic>
              <a:graphicData uri="http://schemas.openxmlformats.org/drawingml/2006/picture">
                <pic:pic>
                  <pic:nvPicPr>
                    <pic:cNvPr id="0" name="ppsd_POP2_HHE.png"/>
                    <pic:cNvPicPr/>
                  </pic:nvPicPr>
                  <pic:blipFill>
                    <a:blip r:embed="rId21"/>
                    <a:stretch>
                      <a:fillRect/>
                    </a:stretch>
                  </pic:blipFill>
                  <pic:spPr>
                    <a:xfrm>
                      <a:off x="0" y="0"/>
                      <a:ext cx="5943600" cy="1395296"/>
                    </a:xfrm>
                    <a:prstGeom prst="rect"/>
                  </pic:spPr>
                </pic:pic>
              </a:graphicData>
            </a:graphic>
          </wp:inline>
        </w:drawing>
      </w:r>
      <w:r>
        <w:rPr>
          <w:b/>
          <w:sz w:val="18"/>
        </w:rPr>
        <w:t xml:space="preserve">  Figura 4.</w:t>
      </w:r>
      <w:r>
        <w:rPr>
          <w:sz w:val="18"/>
        </w:rPr>
        <w:t xml:space="preserve"> Gráfica de %ppsd y picos en los datos de la estación POP2 en sus tres componentes.</w:t>
        <w:br/>
        <w:br/>
      </w:r>
      <w:r>
        <w:rPr>
          <w:b/>
          <w:sz w:val="24"/>
        </w:rPr>
        <w:t>Espectro</w:t>
        <w:br/>
        <w:br/>
      </w:r>
      <w:r>
        <w:t xml:space="preserve"> </w:t>
        <w:br/>
        <w:br/>
        <w:br/>
        <w:br/>
      </w:r>
      <w:r>
        <w:rPr>
          <w:b/>
          <w:sz w:val="24"/>
        </w:rPr>
        <w:br/>
        <w:t>3. Última visita</w:t>
        <w:br/>
        <w:br/>
      </w:r>
      <w:r>
        <w:t>La última visita a la estación fue el 2023-04-26 por Juan Carlos Lizcano realizando  mantenimiento correctivo, se encontro modem bloqueado se cambio por otro pero no funciono y se deja el mismo el cual opero normal, se modifican conexiones electricas y se cambia regulador, se cambia tarjeta del rectificador eaton, se lavan paneles y se poda y limpia zona alrredor caseta y antena, se refuerza con cinta el acetato del feed, se retira conversor con cod_024176.</w:t>
        <w:br/>
        <w:br/>
        <w:br/>
        <w:br/>
      </w:r>
      <w:r>
        <w:rPr>
          <w:b/>
          <w:sz w:val="24"/>
        </w:rPr>
        <w:t>4. Recomendaciones</w:t>
        <w:br/>
        <w:br/>
      </w:r>
      <w:r>
        <w:t xml:space="preserve"> </w:t>
        <w:br/>
        <w:br/>
      </w:r>
    </w:p>
    <w:p>
      <w:r>
        <w:br w:type="page"/>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Style w:val="TableGrid"/>
      <w:tblW w:type="auto" w:w="0"/>
      <w:tblLayout w:type="fixed"/>
      <w:tblLook w:firstColumn="1" w:firstRow="1" w:lastColumn="0" w:lastRow="0" w:noHBand="0" w:noVBand="1" w:val="04A0"/>
    </w:tblPr>
    <w:tblGrid>
      <w:gridCol w:w="91"/>
      <w:gridCol w:w="198"/>
      <w:gridCol w:w="96"/>
    </w:tblGrid>
    <w:tr>
      <w:tc>
        <w:tcPr>
          <w:tcW w:type="dxa" w:w="3402"/>
        </w:tcPr>
        <w:p/>
        <w:p>
          <w:r>
            <w:drawing>
              <wp:inline xmlns:a="http://schemas.openxmlformats.org/drawingml/2006/main" xmlns:pic="http://schemas.openxmlformats.org/drawingml/2006/picture">
                <wp:extent cx="1143000" cy="457200"/>
                <wp:docPr id="1" name="Picture 1"/>
                <wp:cNvGraphicFramePr>
                  <a:graphicFrameLocks noChangeAspect="1"/>
                </wp:cNvGraphicFramePr>
                <a:graphic>
                  <a:graphicData uri="http://schemas.openxmlformats.org/drawingml/2006/picture">
                    <pic:pic>
                      <pic:nvPicPr>
                        <pic:cNvPr id="0" name="Simbolo_SGC_Color.png"/>
                        <pic:cNvPicPr/>
                      </pic:nvPicPr>
                      <pic:blipFill>
                        <a:blip r:embed="rId1"/>
                        <a:stretch>
                          <a:fillRect/>
                        </a:stretch>
                      </pic:blipFill>
                      <pic:spPr>
                        <a:xfrm>
                          <a:off x="0" y="0"/>
                          <a:ext cx="1143000" cy="457200"/>
                        </a:xfrm>
                        <a:prstGeom prst="rect"/>
                      </pic:spPr>
                    </pic:pic>
                  </a:graphicData>
                </a:graphic>
              </wp:inline>
            </w:drawing>
          </w:r>
        </w:p>
      </w:tc>
      <w:tc>
        <w:tcPr>
          <w:tcW w:type="dxa" w:w="3402"/>
        </w:tcPr>
        <w:p/>
        <w:p>
          <w:r>
            <w:t>Informe de funcionamiento y calidad de la Estación de banda ancha POP2 | Semestre 2023-II</w:t>
          </w:r>
        </w:p>
      </w:tc>
      <w:tc>
        <w:tcPr>
          <w:tcW w:type="dxa" w:w="3402"/>
        </w:tcPr>
        <w:p/>
        <w:p>
          <w:r>
            <w:t xml:space="preserve">Sismología </w:t>
            <w:br/>
            <w:t>Por: Ruth Emilse Bolanos</w:t>
            <w:br/>
            <w:t>Fecha: 2024/01/18</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