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Punta Ardita - PTA HL</w:t>
        <w:br/>
        <w:br/>
      </w:r>
    </w:p>
    <w:p>
      <w:r>
        <w:rPr>
          <w:b/>
        </w:rPr>
        <w:t xml:space="preserve">Departamento: </w:t>
      </w:r>
      <w:r>
        <w:t>Choco</w:t>
      </w:r>
      <w:r>
        <w:rPr>
          <w:b/>
        </w:rPr>
        <w:t xml:space="preserve">  |  Municipio: </w:t>
      </w:r>
      <w:r>
        <w:t>Juradó</w:t>
        <w:br/>
      </w:r>
      <w:r>
        <w:rPr>
          <w:b/>
        </w:rPr>
        <w:t xml:space="preserve">Coordenadas de la estación: </w:t>
      </w:r>
      <w:r>
        <w:t xml:space="preserve"> Lat. 7.147, Lon. -77.808</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movimiento fuerte - 40 </w:t>
      </w:r>
      <w:r>
        <w:br/>
      </w:r>
      <w:r>
        <w:rPr>
          <w:b/>
        </w:rPr>
        <w:t xml:space="preserve">Sensor y digitalizador: </w:t>
      </w:r>
      <w:r>
        <w:t>Strong Motion TSM1  036, Unity Gain-Q330HR, gain 1</w:t>
        <w:br/>
      </w:r>
      <w:r>
        <w:rPr>
          <w:b/>
        </w:rPr>
        <w:t xml:space="preserve">Fecha inicio: </w:t>
      </w:r>
      <w:r>
        <w:t>2020-11-22 15:30:00</w:t>
      </w:r>
      <w:r>
        <w:rPr>
          <w:b/>
        </w:rPr>
        <w:t xml:space="preserve">  |  Fecha fin: </w:t>
      </w:r>
      <w:r>
        <w:t>2599-12-31 23:59:59</w:t>
      </w:r>
    </w:p>
    <w:p>
      <w:pPr>
        <w:jc w:val="center"/>
      </w:pPr>
      <w:r>
        <w:br/>
        <w:br/>
      </w:r>
      <w:r>
        <w:rPr>
          <w:b/>
          <w:sz w:val="24"/>
        </w:rPr>
        <w:t>Estado actual</w:t>
      </w:r>
    </w:p>
    <w:p>
      <w:r>
        <w:rPr>
          <w:b/>
        </w:rPr>
        <w:t>Observación del Sismólogo</w:t>
        <w:br/>
        <w:br/>
      </w:r>
      <w:r>
        <w:t>Presentaba gaps diariamente en las noches por mas de 12 horas desde marzo de 2023 y las cuentas promedio para la componente Z del sensor HL ha sido mayor a 600 mil, desde el 11 de enero de 2024 permanece por fuera.</w:t>
        <w:br/>
        <w:br/>
      </w:r>
      <w:r>
        <w:rPr>
          <w:b/>
        </w:rPr>
        <w:t>Observación del Electrónico</w:t>
        <w:br/>
        <w:br/>
      </w:r>
      <w:r>
        <w:t xml:space="preserve">Presenta problemas tanto por energía como por cobertura celular. Tiene problemas con la caseta en estructura es necesario reubicar la estación  </w:t>
        <w:br/>
        <w:br/>
      </w:r>
      <w:r>
        <w:rPr>
          <w:b/>
        </w:rPr>
        <w:t xml:space="preserve">Fecha del problema: </w:t>
      </w:r>
      <w:r>
        <w:t>2023-04-13</w:t>
        <w:br/>
        <w:br/>
      </w:r>
      <w:r>
        <w:rPr>
          <w:b/>
        </w:rPr>
        <w:t xml:space="preserve">Estado de disponibilidad: </w:t>
      </w:r>
      <w:r>
        <w:t>Por fuera</w:t>
        <w:br/>
        <w:br/>
      </w:r>
      <w:r>
        <w:rPr>
          <w:b/>
        </w:rPr>
        <w:t xml:space="preserve">Problema de sistema: </w:t>
      </w:r>
      <w:r>
        <w:t>Comunicaciones</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52.8%,    promedio: 35.72%</w:t>
        <w:br/>
      </w:r>
      <w:r>
        <w:t>N    |    mínimo: 0.0%,    máximo: 52.8%,    promedio: 35.72%</w:t>
        <w:br/>
      </w:r>
      <w:r>
        <w:t>E    |    mínimo: 0.0%,    máximo: 52.8%,    promedio: 35.72%</w:t>
      </w:r>
      <w:r>
        <w:br/>
        <w:br/>
        <w:drawing>
          <wp:inline xmlns:a="http://schemas.openxmlformats.org/drawingml/2006/main" xmlns:pic="http://schemas.openxmlformats.org/drawingml/2006/picture">
            <wp:extent cx="5943600" cy="1083056"/>
            <wp:docPr id="1" name="Picture 1"/>
            <wp:cNvGraphicFramePr>
              <a:graphicFrameLocks noChangeAspect="1"/>
            </wp:cNvGraphicFramePr>
            <a:graphic>
              <a:graphicData uri="http://schemas.openxmlformats.org/drawingml/2006/picture">
                <pic:pic>
                  <pic:nvPicPr>
                    <pic:cNvPr id="0" name="disp_PTA_HLZ.png"/>
                    <pic:cNvPicPr/>
                  </pic:nvPicPr>
                  <pic:blipFill>
                    <a:blip r:embed="rId10"/>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2" name="Picture 2"/>
            <wp:cNvGraphicFramePr>
              <a:graphicFrameLocks noChangeAspect="1"/>
            </wp:cNvGraphicFramePr>
            <a:graphic>
              <a:graphicData uri="http://schemas.openxmlformats.org/drawingml/2006/picture">
                <pic:pic>
                  <pic:nvPicPr>
                    <pic:cNvPr id="0" name="disp_PTA_HLN.png"/>
                    <pic:cNvPicPr/>
                  </pic:nvPicPr>
                  <pic:blipFill>
                    <a:blip r:embed="rId11"/>
                    <a:stretch>
                      <a:fillRect/>
                    </a:stretch>
                  </pic:blipFill>
                  <pic:spPr>
                    <a:xfrm>
                      <a:off x="0" y="0"/>
                      <a:ext cx="5943600" cy="1083056"/>
                    </a:xfrm>
                    <a:prstGeom prst="rect"/>
                  </pic:spPr>
                </pic:pic>
              </a:graphicData>
            </a:graphic>
          </wp:inline>
        </w:drawing>
        <w:drawing>
          <wp:inline xmlns:a="http://schemas.openxmlformats.org/drawingml/2006/main" xmlns:pic="http://schemas.openxmlformats.org/drawingml/2006/picture">
            <wp:extent cx="5943600" cy="1083056"/>
            <wp:docPr id="3" name="Picture 3"/>
            <wp:cNvGraphicFramePr>
              <a:graphicFrameLocks noChangeAspect="1"/>
            </wp:cNvGraphicFramePr>
            <a:graphic>
              <a:graphicData uri="http://schemas.openxmlformats.org/drawingml/2006/picture">
                <pic:pic>
                  <pic:nvPicPr>
                    <pic:cNvPr id="0" name="disp_PTA_HLE.png"/>
                    <pic:cNvPicPr/>
                  </pic:nvPicPr>
                  <pic:blipFill>
                    <a:blip r:embed="rId12"/>
                    <a:stretch>
                      <a:fillRect/>
                    </a:stretch>
                  </pic:blipFill>
                  <pic:spPr>
                    <a:xfrm>
                      <a:off x="0" y="0"/>
                      <a:ext cx="5943600" cy="1083056"/>
                    </a:xfrm>
                    <a:prstGeom prst="rect"/>
                  </pic:spPr>
                </pic:pic>
              </a:graphicData>
            </a:graphic>
          </wp:inline>
        </w:drawing>
      </w:r>
      <w:r>
        <w:rPr>
          <w:b/>
          <w:sz w:val="18"/>
        </w:rPr>
        <w:t xml:space="preserve">  Figura 1.</w:t>
      </w:r>
      <w:r>
        <w:rPr>
          <w:sz w:val="18"/>
        </w:rPr>
        <w:t xml:space="preserve"> Gráfica de disponibilidad en los datos de la estación PTA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747,    máximo: 37,    promedio: 4.04</w:t>
        <w:br/>
      </w:r>
      <w:r>
        <w:t>N    |    número de gaps: 748,    máximo: 37,    promedio: 4.04</w:t>
        <w:br/>
      </w:r>
      <w:r>
        <w:t>E    |    número de gaps: 748,    máximo: 37,    promedio: 4.04</w:t>
        <w:br/>
        <w:br/>
      </w:r>
      <w:r>
        <w:rPr>
          <w:b/>
        </w:rPr>
        <w:t>Overlaps</w:t>
        <w:br/>
      </w:r>
      <w:r>
        <w:t>Z    |    número de overlaps: 3,    máximo: 1,    promedio: 0.02</w:t>
        <w:br/>
      </w:r>
      <w:r>
        <w:t>N    |    número de overlaps: 3,    máximo: 1,    promedio: 0.02</w:t>
        <w:br/>
      </w:r>
      <w:r>
        <w:t>E    |    número de overlaps: 3,    máximo: 1,    promedio: 0.02</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TA_HL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TA_HL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TA_HL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PTA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885424.9,    promedio: 60926.63</w:t>
        <w:br/>
      </w:r>
      <w:r>
        <w:t>N    |    mínimo: -9.0,    máximo: 2562.5,    promedio: 1162.87</w:t>
        <w:br/>
      </w:r>
      <w:r>
        <w:t>E    |    mínimo: -9.0,    máximo: 887.4,    promedio: 289.71</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TA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TA_HL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PTA_HL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PTA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30.43,    número de picos: 38.0,    máximo de picos: 7.0</w:t>
        <w:br/>
      </w:r>
      <w:r>
        <w:t>N    |    promedio %ppsd: 32.75,    número de picos: 64.0,    máximo de picos: 7.0</w:t>
        <w:br/>
      </w:r>
      <w:r>
        <w:t>E    |    promedio %ppsd: 35.36,    número de picos: 24.0,    máximo de picos: 4.0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TA_HL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TA_HL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TA_HL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PTA en sus tres componentes.</w:t>
        <w:br/>
        <w:br/>
      </w:r>
      <w:r>
        <w:rPr>
          <w:b/>
          <w:sz w:val="24"/>
        </w:rPr>
        <w:t>Espectro</w:t>
        <w:br/>
        <w:br/>
      </w:r>
      <w:r>
        <w:t xml:space="preserve"> </w:t>
        <w:br/>
        <w:br/>
        <w:br/>
        <w:br/>
      </w:r>
      <w:r>
        <w:rPr>
          <w:b/>
          <w:sz w:val="24"/>
        </w:rPr>
        <w:br/>
        <w:t>3. Última visita</w:t>
        <w:br/>
        <w:br/>
      </w:r>
      <w:r>
        <w:t>La última visita a la estación fue el 2023-02-28 por Johnnatan Fernandez,Juan Carlos Lizcano realizando  mantenimiento correctivo, se instala modem-celular, mastil y antena yagui para transmision celular, se instala regulador 15111763, se cambia sistema de conexion de baterias, se retira modem_191329396 y regulador 12411674. se</w:t>
        <w:br/>
        <w:br/>
        <w:t>lavan paneles solares y se desyerba alrededor de la caseta.</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PTA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