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Cali, Sgc - RAC2C HN</w:t>
        <w:br/>
        <w:br/>
      </w:r>
      <w:r>
        <w:rPr>
          <w:b/>
        </w:rPr>
        <w:t xml:space="preserve">Departamento: </w:t>
      </w:r>
      <w:r>
        <w:t>Valle Del Cauca</w:t>
      </w:r>
      <w:r>
        <w:rPr>
          <w:b/>
        </w:rPr>
        <w:t xml:space="preserve">  |  Municipio: </w:t>
      </w:r>
      <w:r>
        <w:t>Cali</w:t>
        <w:br/>
      </w:r>
      <w:r>
        <w:rPr>
          <w:b/>
        </w:rPr>
        <w:t xml:space="preserve">Coordenadas de la estación: </w:t>
      </w:r>
      <w:r>
        <w:t xml:space="preserve"> Lat. 3.372, Lon. -76.53</w:t>
        <w:br/>
      </w:r>
      <w:r>
        <w:rPr>
          <w:b/>
        </w:rPr>
        <w:t xml:space="preserve">Tipo de transmisión: </w:t>
      </w:r>
      <w:r>
        <w:t>Internet</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2012-10-27 00:00:00</w:t>
      </w:r>
      <w:r>
        <w:rPr>
          <w:b/>
        </w:rPr>
        <w:t xml:space="preserve">  |  Fecha fin: </w:t>
      </w:r>
      <w:r>
        <w:t>nan</w:t>
        <w:br/>
        <w:br/>
        <w:br/>
        <w:br/>
      </w:r>
      <w:r>
        <w:rPr>
          <w:b/>
          <w:sz w:val="24"/>
        </w:rPr>
        <w:t>1. Funcionamiento</w:t>
        <w:br/>
        <w:br/>
      </w:r>
      <w:r>
        <w:t>La estación salió de funcionamiento el 16 de junio. El personal de la sede del SGC Cali, informa que actualmente no tienen contrato el ingeniero de apoyo de TIC y que en la madrugada hubo una tormenta eléctrica que produjo un daño de algunos circuitos eléctricos en la sede, pero que ya se está solucionando y también hay un daño del área de redes de sistema, no tienen servicio de INTERNET. Para mayor información comunicarse con la secretaria General Lina Sofía Guerrero Caballero sede Cali. Por los motivos mencionados es la razón por que, el equipo no envía la información del registro sísmico a la RSNC; Se estara pendiente del restablecimiento de las comunicaciones de la sede en Cali.</w:t>
        <w:br/>
        <w:br/>
      </w:r>
      <w:r>
        <w:rPr>
          <w:b/>
          <w:sz w:val="24"/>
        </w:rPr>
        <w:t>1.1 Disponibilidad</w:t>
        <w:br/>
        <w:br/>
      </w:r>
      <w:r>
        <w:t xml:space="preserve"> </w:t>
        <w:br/>
      </w:r>
    </w:p>
    <w:p>
      <w:r>
        <w:rPr>
          <w:b/>
        </w:rPr>
        <w:t>Comportamiento de disponibilidad en el semestre para las tres componentes</w:t>
        <w:br/>
        <w:br/>
      </w:r>
      <w:r>
        <w:t>Z    |    mínimo: 0.0%,    máximo: 100.0%,    promedio: 89.32%</w:t>
        <w:br/>
      </w:r>
      <w:r>
        <w:t>N    |    mínimo: 0.0%,    máximo: 100.0%,    promedio: 89.32%</w:t>
        <w:br/>
      </w:r>
      <w:r>
        <w:t>E    |    mínimo: 0.0%,    máximo: 100.0%,    promedio: 89.32%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AC2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AC2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AC2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RAC2C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243,    máximo: 45,    promedio: 1.34</w:t>
        <w:br/>
      </w:r>
      <w:r>
        <w:t>N    |    número de gaps: 286,    máximo: 78,    promedio: 1.58</w:t>
        <w:br/>
      </w:r>
      <w:r>
        <w:t>E    |    número de gaps: 317,    máximo: 53,    promedio: 1.75</w:t>
        <w:br/>
        <w:br/>
      </w:r>
      <w:r>
        <w:rPr>
          <w:b/>
        </w:rPr>
        <w:t>Overlaps</w:t>
        <w:br/>
      </w:r>
      <w:r>
        <w:t>Z    |    número de overlaps: 55,    máximo: 11,    promedio: 0.3</w:t>
        <w:br/>
      </w:r>
      <w:r>
        <w:t>N    |    número de overlaps: 45,    máximo: 9,    promedio: 0.25</w:t>
        <w:br/>
      </w:r>
      <w:r>
        <w:t>E    |    número de overlaps: 55,    máximo: 10,    promedio: 0.3</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RAC2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RAC2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RAC2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RAC2C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-3.4,    máximo: 350.7,    promedio: 7.44</w:t>
        <w:br/>
      </w:r>
      <w:r>
        <w:t>N    |    mínimo: -17.9,    máximo: 40.6,    promedio: -14.18</w:t>
        <w:br/>
      </w:r>
      <w:r>
        <w:t>E    |    mínimo: -91.5,    máximo: -1.0,    promedio: -3.88</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RAC2C_HN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0385"/>
            <wp:docPr id="8" name="Picture 8"/>
            <wp:cNvGraphicFramePr>
              <a:graphicFrameLocks noChangeAspect="1"/>
            </wp:cNvGraphicFramePr>
            <a:graphic>
              <a:graphicData uri="http://schemas.openxmlformats.org/drawingml/2006/picture">
                <pic:pic>
                  <pic:nvPicPr>
                    <pic:cNvPr id="0" name="offset_RAC2C_HNN.png"/>
                    <pic:cNvPicPr/>
                  </pic:nvPicPr>
                  <pic:blipFill>
                    <a:blip r:embed="rId17"/>
                    <a:stretch>
                      <a:fillRect/>
                    </a:stretch>
                  </pic:blipFill>
                  <pic:spPr>
                    <a:xfrm>
                      <a:off x="0" y="0"/>
                      <a:ext cx="5943600" cy="1470385"/>
                    </a:xfrm>
                    <a:prstGeom prst="rect"/>
                  </pic:spPr>
                </pic:pic>
              </a:graphicData>
            </a:graphic>
          </wp:inline>
        </w:drawing>
        <w:drawing>
          <wp:inline xmlns:a="http://schemas.openxmlformats.org/drawingml/2006/main" xmlns:pic="http://schemas.openxmlformats.org/drawingml/2006/picture">
            <wp:extent cx="5943600" cy="1469204"/>
            <wp:docPr id="9" name="Picture 9"/>
            <wp:cNvGraphicFramePr>
              <a:graphicFrameLocks noChangeAspect="1"/>
            </wp:cNvGraphicFramePr>
            <a:graphic>
              <a:graphicData uri="http://schemas.openxmlformats.org/drawingml/2006/picture">
                <pic:pic>
                  <pic:nvPicPr>
                    <pic:cNvPr id="0" name="offset_RAC2C_HNE.png"/>
                    <pic:cNvPicPr/>
                  </pic:nvPicPr>
                  <pic:blipFill>
                    <a:blip r:embed="rId18"/>
                    <a:stretch>
                      <a:fillRect/>
                    </a:stretch>
                  </pic:blipFill>
                  <pic:spPr>
                    <a:xfrm>
                      <a:off x="0" y="0"/>
                      <a:ext cx="5943600" cy="1469204"/>
                    </a:xfrm>
                    <a:prstGeom prst="rect"/>
                  </pic:spPr>
                </pic:pic>
              </a:graphicData>
            </a:graphic>
          </wp:inline>
        </w:drawing>
        <w:br/>
      </w:r>
      <w:r>
        <w:rPr>
          <w:b/>
          <w:sz w:val="18"/>
        </w:rPr>
        <w:t xml:space="preserve">  Figura 3.</w:t>
      </w:r>
      <w:r>
        <w:rPr>
          <w:sz w:val="18"/>
        </w:rPr>
        <w:t xml:space="preserve">  Gráfica de offset en los datos de la estación RAC2C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82.53,    número de picos: 53,    máximo de picos: 9</w:t>
        <w:br/>
      </w:r>
      <w:r>
        <w:t>N    |    promedio %ppsd: 67.41,    número de picos: 50,    máximo de picos: 9</w:t>
        <w:br/>
      </w:r>
      <w:r>
        <w:t>E    |    promedio %ppsd: 78.84,    número de picos: 65,    máximo de picos: 9</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RAC2C_HN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RAC2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RAC2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RAC2C en sus tres componentes.</w:t>
        <w:br/>
        <w:br/>
      </w:r>
      <w:r>
        <w:rPr>
          <w:b/>
          <w:sz w:val="24"/>
        </w:rPr>
        <w:t>Espectro</w:t>
        <w:br/>
        <w:br/>
        <w:br/>
        <w:br/>
      </w:r>
      <w:r>
        <w:drawing>
          <wp:inline xmlns:a="http://schemas.openxmlformats.org/drawingml/2006/main" xmlns:pic="http://schemas.openxmlformats.org/drawingml/2006/picture">
            <wp:extent cx="4572000" cy="226096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60966"/>
                    </a:xfrm>
                    <a:prstGeom prst="rect"/>
                  </pic:spPr>
                </pic:pic>
              </a:graphicData>
            </a:graphic>
          </wp:inline>
        </w:drawing>
      </w:r>
      <w:r>
        <w:rPr>
          <w:b/>
          <w:sz w:val="18"/>
        </w:rPr>
        <w:br/>
        <w:t>Figura 5.</w:t>
      </w:r>
      <w:r>
        <w:rPr>
          <w:sz w:val="18"/>
        </w:rPr>
        <w:t xml:space="preserve"> Espectro de ruido en los datos de la estación RAC2C.</w:t>
        <w:br/>
        <w:br/>
      </w:r>
      <w:r>
        <w:rPr>
          <w:b/>
          <w:sz w:val="24"/>
        </w:rPr>
        <w:br/>
        <w:t>3. Última visita</w:t>
        <w:br/>
        <w:br/>
      </w:r>
      <w:r>
        <w:t>La última visita a la estación fue el 2020-02-28 por Jorge Andres De La Rosa realizando  mantenimiento preventivo, el equipo se encontro funcionando bien, no se pudo anclar el equipo porque hay baldosa y podria romperse. queda pdte la reintalacion de un bunker, el equipo queda transmitiendo en tiempo real.</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RAC2C | Semestre 2023-I</w:t>
          </w:r>
        </w:p>
      </w:tc>
      <w:tc>
        <w:tcPr>
          <w:tcW w:type="dxa" w:w="3402"/>
        </w:tcPr>
        <w:p/>
        <w:p>
          <w:r>
            <w:t xml:space="preserve">Sismología </w:t>
            <w:br/>
            <w:t>Por: Elizabeth Mazo</w:t>
            <w:br/>
            <w:t>Fecha: 2023/07/27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