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Carlos - SCLC HH</w:t>
        <w:br/>
        <w:br/>
      </w:r>
      <w:r>
        <w:rPr>
          <w:b/>
        </w:rPr>
        <w:t xml:space="preserve">Departamento: </w:t>
      </w:r>
      <w:r>
        <w:t>Cordoba</w:t>
      </w:r>
      <w:r>
        <w:rPr>
          <w:b/>
        </w:rPr>
        <w:t xml:space="preserve">  |  Municipio: </w:t>
      </w:r>
      <w:r>
        <w:t>San Carlos</w:t>
        <w:br/>
      </w:r>
      <w:r>
        <w:rPr>
          <w:b/>
        </w:rPr>
        <w:t xml:space="preserve">Coordenadas de la estación: </w:t>
      </w:r>
      <w:r>
        <w:t xml:space="preserve"> Lat. 8.77, Lon. -75.691</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RT151B, 120 s, 2000 V/m/s-Q330SR, gain 1, 100 sps,</w:t>
        <w:br/>
      </w:r>
      <w:r>
        <w:rPr>
          <w:b/>
        </w:rPr>
        <w:t xml:space="preserve">Fecha inicio: </w:t>
      </w:r>
      <w:r>
        <w:t>2021-11-10 00:00:00</w:t>
      </w:r>
      <w:r>
        <w:rPr>
          <w:b/>
        </w:rPr>
        <w:t xml:space="preserve">  |  Fecha fin: </w:t>
      </w:r>
      <w:r>
        <w:t>2599-12-31 23:59:59</w:t>
        <w:br/>
        <w:br/>
        <w:br/>
        <w:br/>
      </w:r>
      <w:r>
        <w:rPr>
          <w:b/>
          <w:sz w:val="24"/>
        </w:rPr>
        <w:t>1. Funcionamiento</w:t>
        <w:br/>
        <w:br/>
      </w:r>
      <w:r>
        <w:t>La Estación ha presentado diariamente entre uno a dos cortes bajando su disponibilidad diara a 99.3%.</w:t>
        <w:br/>
        <w:br/>
      </w:r>
      <w:r>
        <w:rPr>
          <w:b/>
          <w:sz w:val="24"/>
        </w:rPr>
        <w:t>1.1 Disponibilidad</w:t>
        <w:br/>
        <w:br/>
      </w:r>
      <w:r>
        <w:t>Los pequeños cortes periodicos que presenta parace ser que el equipo se está reiniciando.</w:t>
        <w:br/>
      </w:r>
    </w:p>
    <w:p>
      <w:r>
        <w:rPr>
          <w:b/>
        </w:rPr>
        <w:t>Comportamiento de disponibilidad en el semestre para las tres componentes</w:t>
        <w:br/>
        <w:br/>
      </w:r>
      <w:r>
        <w:t>Z    |    mínimo: 99.0%,    máximo: 99.6%,    promedio: 99.35%</w:t>
        <w:br/>
      </w:r>
      <w:r>
        <w:t>N    |    mínimo: 99.0%,    máximo: 99.6%,    promedio: 99.34%</w:t>
        <w:br/>
      </w:r>
      <w:r>
        <w:t>E    |    mínimo: 99.0%,    máximo: 99.6%,    promedio: 99.35%</w:t>
      </w:r>
      <w:r>
        <w:br/>
        <w:br/>
        <w:drawing>
          <wp:inline xmlns:a="http://schemas.openxmlformats.org/drawingml/2006/main" xmlns:pic="http://schemas.openxmlformats.org/drawingml/2006/picture">
            <wp:extent cx="5943600" cy="1072726"/>
            <wp:docPr id="1" name="Picture 1"/>
            <wp:cNvGraphicFramePr>
              <a:graphicFrameLocks noChangeAspect="1"/>
            </wp:cNvGraphicFramePr>
            <a:graphic>
              <a:graphicData uri="http://schemas.openxmlformats.org/drawingml/2006/picture">
                <pic:pic>
                  <pic:nvPicPr>
                    <pic:cNvPr id="0" name="disp_SCLC_HHZ.png"/>
                    <pic:cNvPicPr/>
                  </pic:nvPicPr>
                  <pic:blipFill>
                    <a:blip r:embed="rId10"/>
                    <a:stretch>
                      <a:fillRect/>
                    </a:stretch>
                  </pic:blipFill>
                  <pic:spPr>
                    <a:xfrm>
                      <a:off x="0" y="0"/>
                      <a:ext cx="5943600" cy="1072726"/>
                    </a:xfrm>
                    <a:prstGeom prst="rect"/>
                  </pic:spPr>
                </pic:pic>
              </a:graphicData>
            </a:graphic>
          </wp:inline>
        </w:drawing>
        <w:drawing>
          <wp:inline xmlns:a="http://schemas.openxmlformats.org/drawingml/2006/main" xmlns:pic="http://schemas.openxmlformats.org/drawingml/2006/picture">
            <wp:extent cx="5943600" cy="1072726"/>
            <wp:docPr id="2" name="Picture 2"/>
            <wp:cNvGraphicFramePr>
              <a:graphicFrameLocks noChangeAspect="1"/>
            </wp:cNvGraphicFramePr>
            <a:graphic>
              <a:graphicData uri="http://schemas.openxmlformats.org/drawingml/2006/picture">
                <pic:pic>
                  <pic:nvPicPr>
                    <pic:cNvPr id="0" name="disp_SCLC_HHN.png"/>
                    <pic:cNvPicPr/>
                  </pic:nvPicPr>
                  <pic:blipFill>
                    <a:blip r:embed="rId11"/>
                    <a:stretch>
                      <a:fillRect/>
                    </a:stretch>
                  </pic:blipFill>
                  <pic:spPr>
                    <a:xfrm>
                      <a:off x="0" y="0"/>
                      <a:ext cx="5943600" cy="1072726"/>
                    </a:xfrm>
                    <a:prstGeom prst="rect"/>
                  </pic:spPr>
                </pic:pic>
              </a:graphicData>
            </a:graphic>
          </wp:inline>
        </w:drawing>
        <w:drawing>
          <wp:inline xmlns:a="http://schemas.openxmlformats.org/drawingml/2006/main" xmlns:pic="http://schemas.openxmlformats.org/drawingml/2006/picture">
            <wp:extent cx="5943600" cy="1072726"/>
            <wp:docPr id="3" name="Picture 3"/>
            <wp:cNvGraphicFramePr>
              <a:graphicFrameLocks noChangeAspect="1"/>
            </wp:cNvGraphicFramePr>
            <a:graphic>
              <a:graphicData uri="http://schemas.openxmlformats.org/drawingml/2006/picture">
                <pic:pic>
                  <pic:nvPicPr>
                    <pic:cNvPr id="0" name="disp_SCLC_HHE.png"/>
                    <pic:cNvPicPr/>
                  </pic:nvPicPr>
                  <pic:blipFill>
                    <a:blip r:embed="rId12"/>
                    <a:stretch>
                      <a:fillRect/>
                    </a:stretch>
                  </pic:blipFill>
                  <pic:spPr>
                    <a:xfrm>
                      <a:off x="0" y="0"/>
                      <a:ext cx="5943600" cy="1072726"/>
                    </a:xfrm>
                    <a:prstGeom prst="rect"/>
                  </pic:spPr>
                </pic:pic>
              </a:graphicData>
            </a:graphic>
          </wp:inline>
        </w:drawing>
      </w:r>
      <w:r>
        <w:rPr>
          <w:b/>
          <w:sz w:val="18"/>
        </w:rPr>
        <w:t xml:space="preserve">  Figura 1.</w:t>
      </w:r>
      <w:r>
        <w:rPr>
          <w:sz w:val="18"/>
        </w:rPr>
        <w:t xml:space="preserve"> Gráfica de disponibilidad en los datos de la estación SCLC en sus tres componentes.</w:t>
        <w:br/>
        <w:br/>
      </w:r>
      <w:r>
        <w:rPr>
          <w:b/>
          <w:sz w:val="24"/>
        </w:rPr>
        <w:t>1.2 Gaps y Overlaps</w:t>
        <w:br/>
        <w:br/>
      </w:r>
      <w:r>
        <w:t>estos cortes diarios posiblemente se deba a reinicios durante el día.</w:t>
        <w:br/>
        <w:br/>
      </w:r>
    </w:p>
    <w:p>
      <w:r>
        <w:br w:type="page"/>
      </w:r>
    </w:p>
    <w:p>
      <w:r>
        <w:rPr>
          <w:b/>
        </w:rPr>
        <w:t>Comportamiento de gaps y overlaps en el semestre para las tres componentes</w:t>
        <w:br/>
        <w:br/>
      </w:r>
      <w:r>
        <w:rPr>
          <w:b/>
        </w:rPr>
        <w:t>Gaps</w:t>
        <w:br/>
      </w:r>
      <w:r>
        <w:t>Z    |    número de gaps: 331,    máximo: 5,    promedio: 1.83</w:t>
        <w:br/>
      </w:r>
      <w:r>
        <w:t>N    |    número de gaps: 331,    máximo: 5,    promedio: 1.83</w:t>
        <w:br/>
      </w:r>
      <w:r>
        <w:t>E    |    número de gaps: 331,    máximo: 5,    promedio: 1.83</w:t>
        <w:br/>
        <w:br/>
      </w:r>
      <w:r>
        <w:rPr>
          <w:b/>
        </w:rPr>
        <w:t>Overlaps</w:t>
        <w:br/>
      </w:r>
      <w:r>
        <w:t>Z    |    número de overlaps: 5,    máximo: 2,    promedio: 0.03</w:t>
        <w:br/>
      </w:r>
      <w:r>
        <w:t>N    |    número de overlaps: 5,    máximo: 2,    promedio: 0.03</w:t>
        <w:br/>
      </w:r>
      <w:r>
        <w:t>E    |    número de overlaps: 5,    máximo: 2,    promedio: 0.03</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SCL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SCL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SCL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SCLC en sus tres componentes.</w:t>
        <w:br/>
        <w:br/>
      </w:r>
      <w:r>
        <w:rPr>
          <w:b/>
          <w:sz w:val="24"/>
        </w:rPr>
        <w:t>2. Calidad</w:t>
        <w:br/>
        <w:br/>
      </w:r>
      <w:r>
        <w:t>Durante el primer semestre de 2023, la estación ha mantenido una buena calidad en la señal.</w:t>
        <w:br/>
        <w:br/>
      </w:r>
      <w:r>
        <w:rPr>
          <w:b/>
          <w:sz w:val="24"/>
        </w:rPr>
        <w:t>2.1 Offset</w:t>
        <w:br/>
        <w:br/>
      </w:r>
      <w:r>
        <w:t>Durante este semestre, los valores de offset para las tres componentes del sensor de velocidad HH han tenido un promedio entre -500 y 1000.</w:t>
        <w:br/>
        <w:br/>
      </w:r>
      <w:r>
        <w:rPr>
          <w:b/>
        </w:rPr>
        <w:t>Comportamiento de offset en el semestre para las tres componentes</w:t>
        <w:br/>
        <w:br/>
      </w:r>
      <w:r>
        <w:t>Z    |    mínimo: -523.5,    máximo: -481.7,    promedio: -501.31</w:t>
        <w:br/>
      </w:r>
      <w:r>
        <w:t>N    |    mínimo: 986.1,    máximo: 1033.2,    promedio: 1013.25</w:t>
        <w:br/>
      </w:r>
      <w:r>
        <w:t>E    |    mínimo: 286.9,    máximo: 385.8,    promedio: 341.84</w:t>
        <w:br/>
        <w:br/>
      </w:r>
      <w:r>
        <w:br/>
        <w:drawing>
          <wp:inline xmlns:a="http://schemas.openxmlformats.org/drawingml/2006/main" xmlns:pic="http://schemas.openxmlformats.org/drawingml/2006/picture">
            <wp:extent cx="5943600" cy="1459832"/>
            <wp:docPr id="7" name="Picture 7"/>
            <wp:cNvGraphicFramePr>
              <a:graphicFrameLocks noChangeAspect="1"/>
            </wp:cNvGraphicFramePr>
            <a:graphic>
              <a:graphicData uri="http://schemas.openxmlformats.org/drawingml/2006/picture">
                <pic:pic>
                  <pic:nvPicPr>
                    <pic:cNvPr id="0" name="offset_SCLC_HHZ.png"/>
                    <pic:cNvPicPr/>
                  </pic:nvPicPr>
                  <pic:blipFill>
                    <a:blip r:embed="rId16"/>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62164"/>
            <wp:docPr id="8" name="Picture 8"/>
            <wp:cNvGraphicFramePr>
              <a:graphicFrameLocks noChangeAspect="1"/>
            </wp:cNvGraphicFramePr>
            <a:graphic>
              <a:graphicData uri="http://schemas.openxmlformats.org/drawingml/2006/picture">
                <pic:pic>
                  <pic:nvPicPr>
                    <pic:cNvPr id="0" name="offset_SCLC_HHN.png"/>
                    <pic:cNvPicPr/>
                  </pic:nvPicPr>
                  <pic:blipFill>
                    <a:blip r:embed="rId17"/>
                    <a:stretch>
                      <a:fillRect/>
                    </a:stretch>
                  </pic:blipFill>
                  <pic:spPr>
                    <a:xfrm>
                      <a:off x="0" y="0"/>
                      <a:ext cx="5943600" cy="1462164"/>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SCLC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SCLC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31.77,    número de picos: 204,    máximo de picos: 6</w:t>
        <w:br/>
      </w:r>
      <w:r>
        <w:t>N    |    promedio %ppsd: 32.27,    número de picos: 230,    máximo de picos: 7</w:t>
        <w:br/>
      </w:r>
      <w:r>
        <w:t>E    |    promedio %ppsd: 30.72,    número de picos: 224,    máximo de picos: 6</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SCLC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SCLC_H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SCLC_H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SCLC en sus tres componentes.</w:t>
        <w:br/>
        <w:br/>
      </w:r>
      <w:r>
        <w:rPr>
          <w:b/>
          <w:sz w:val="24"/>
        </w:rPr>
        <w:t>Espectro</w:t>
        <w:br/>
        <w:br/>
      </w:r>
      <w:r>
        <w:t>Para las tres componentes las curvas probabilísticas de densidad espectral se encuentran dentro del área establecida por las curvas NHLM y NLNM en todo el ancho de banda, lo que indica niveles de ruido aceptables.</w:t>
        <w:br/>
        <w:br/>
        <w:br/>
        <w:br/>
      </w:r>
      <w:r>
        <w:drawing>
          <wp:inline xmlns:a="http://schemas.openxmlformats.org/drawingml/2006/main" xmlns:pic="http://schemas.openxmlformats.org/drawingml/2006/picture">
            <wp:extent cx="4572000" cy="294270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942705"/>
                    </a:xfrm>
                    <a:prstGeom prst="rect"/>
                  </pic:spPr>
                </pic:pic>
              </a:graphicData>
            </a:graphic>
          </wp:inline>
        </w:drawing>
      </w:r>
      <w:r>
        <w:rPr>
          <w:b/>
          <w:sz w:val="18"/>
        </w:rPr>
        <w:br/>
        <w:t>Figura 5.</w:t>
      </w:r>
      <w:r>
        <w:rPr>
          <w:sz w:val="18"/>
        </w:rPr>
        <w:t xml:space="preserve"> Espectro de ruido en los datos de la estación SCLC.</w:t>
        <w:br/>
        <w:br/>
      </w:r>
      <w:r>
        <w:drawing>
          <wp:inline xmlns:a="http://schemas.openxmlformats.org/drawingml/2006/main" xmlns:pic="http://schemas.openxmlformats.org/drawingml/2006/picture">
            <wp:extent cx="4572000" cy="2912472"/>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912472"/>
                    </a:xfrm>
                    <a:prstGeom prst="rect"/>
                  </pic:spPr>
                </pic:pic>
              </a:graphicData>
            </a:graphic>
          </wp:inline>
        </w:drawing>
      </w:r>
      <w:r>
        <w:rPr>
          <w:b/>
          <w:sz w:val="18"/>
        </w:rPr>
        <w:br/>
        <w:t>Figura 6.</w:t>
      </w:r>
      <w:r>
        <w:rPr>
          <w:sz w:val="18"/>
        </w:rPr>
        <w:t xml:space="preserve"> Espectro de ruido en los datos de la estación SCLC.</w:t>
        <w:br/>
        <w:br/>
      </w:r>
      <w:r>
        <w:drawing>
          <wp:inline xmlns:a="http://schemas.openxmlformats.org/drawingml/2006/main" xmlns:pic="http://schemas.openxmlformats.org/drawingml/2006/picture">
            <wp:extent cx="4572000" cy="2926741"/>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926741"/>
                    </a:xfrm>
                    <a:prstGeom prst="rect"/>
                  </pic:spPr>
                </pic:pic>
              </a:graphicData>
            </a:graphic>
          </wp:inline>
        </w:drawing>
      </w:r>
      <w:r>
        <w:rPr>
          <w:b/>
          <w:sz w:val="18"/>
        </w:rPr>
        <w:br/>
        <w:t>Figura 7.</w:t>
      </w:r>
      <w:r>
        <w:rPr>
          <w:sz w:val="18"/>
        </w:rPr>
        <w:t xml:space="preserve"> Espectro de ruido en los datos de la estación SCLC.</w:t>
        <w:br/>
        <w:br/>
      </w:r>
      <w:r>
        <w:rPr>
          <w:b/>
          <w:sz w:val="24"/>
        </w:rPr>
        <w:br/>
        <w:t>3. Última visita</w:t>
        <w:br/>
        <w:br/>
      </w:r>
      <w:r>
        <w:t>La última visita a la estación fue el 2022-07-26 por Juan Carlos Lizcano realizando  mantenimiento correctivo, mmtto sistema de comunicacion por satelite, el modem se encontro apagado y con una colmena de hormigas por dentro, se cambia  el 161995407 por el 082353656, se cortan cables coaxiales para mejor transmision, se verifica apuntamiento de antena satelital, se protege corneta del feed, se cambia acelerog. guiacode acc-1032/tu62 por el acc-1021/tu42, se cambia regulador 18030227 por el15020193, se lavan paneles solares, se desyerba y limpia zona.</w:t>
        <w:br/>
        <w:br/>
        <w:br/>
        <w:br/>
      </w:r>
      <w:r>
        <w:rPr>
          <w:b/>
          <w:sz w:val="24"/>
        </w:rPr>
        <w:t>4. Recomendaciones</w:t>
        <w:br/>
        <w:br/>
      </w:r>
      <w:r>
        <w:t>- Se recomienda revisar la estación sismologica, para solucionar los cortes diarios que presenta.</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SCLC | Semestre 2023-I</w:t>
          </w:r>
        </w:p>
      </w:tc>
      <w:tc>
        <w:tcPr>
          <w:tcW w:type="dxa" w:w="3402"/>
        </w:tcPr>
        <w:p/>
        <w:p>
          <w:r>
            <w:t xml:space="preserve">Sismología </w:t>
            <w:br/>
            <w:t>Por: Omar Mercado</w:t>
            <w:br/>
            <w:t>Fecha: 2023/08/14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