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864"/>
          <w:sz w:val="48"/>
          <w:szCs w:val="48"/>
        </w:rPr>
        <w:t xml:space="preserve">AI-Assisted Floor Plan Layout Generator</w:t>
      </w:r>
    </w:p>
    <w:p>
      <w:pPr>
        <w:spacing w:after="0" w:before="120"/>
        <w:jc w:val="center"/>
      </w:pPr>
      <w:r>
        <w:rPr>
          <w:b/>
          <w:bCs/>
          <w:color w:val="2E75B6"/>
          <w:sz w:val="32"/>
          <w:szCs w:val="32"/>
        </w:rPr>
        <w:t xml:space="preserve">Phase 1: Rules &amp; Preferences Research</w:t>
      </w:r>
    </w:p>
    <w:p>
      <w:pPr>
        <w:spacing w:after="0" w:before="120"/>
        <w:jc w:val="center"/>
      </w:pPr>
      <w:r>
        <w:rPr>
          <w:color w:val="595959"/>
          <w:sz w:val="26"/>
          <w:szCs w:val="26"/>
        </w:rPr>
        <w:t xml:space="preserve">Philippine Single-Detached, Mid-Market Homes</w:t>
      </w:r>
    </w:p>
    <w:p>
      <w:pPr>
        <w:pBdr>
          <w:bottom w:val="single" w:color="2E75B6" w:sz="6" w:space="8"/>
        </w:pBdr>
        <w:spacing w:after="0" w:before="600"/>
      </w:pPr>
      <w:r>
        <w:t xml:space="preserve"/>
      </w:r>
    </w:p>
    <w:p>
      <w:pPr>
        <w:spacing w:after="0" w:before="400"/>
        <w:jc w:val="center"/>
      </w:pPr>
      <w:r>
        <w:rPr>
          <w:color w:val="595959"/>
          <w:sz w:val="24"/>
          <w:szCs w:val="24"/>
        </w:rPr>
        <w:t xml:space="preserve">Prepared for AI Solution Maven</w:t>
      </w:r>
    </w:p>
    <w:p>
      <w:pPr>
        <w:spacing w:after="0" w:before="40"/>
        <w:jc w:val="center"/>
      </w:pPr>
      <w:r>
        <w:rPr>
          <w:color w:val="595959"/>
          <w:sz w:val="22"/>
          <w:szCs w:val="22"/>
        </w:rPr>
        <w:t xml:space="preserve">24 May 2026  ·  Draft v0.1</w:t>
      </w:r>
    </w:p>
    <w:p>
      <w:pPr>
        <w:spacing w:after="0" w:before="40"/>
        <w:jc w:val="center"/>
      </w:pPr>
      <w:r>
        <w:rPr>
          <w:i/>
          <w:iCs/>
          <w:color w:val="595959"/>
          <w:sz w:val="20"/>
          <w:szCs w:val="20"/>
        </w:rPr>
        <w:t xml:space="preserve">Primary source: PD 1096 — National Building Code of the Philippines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 &amp; recommendation</w:t>
      </w:r>
    </w:p>
    <w:p>
      <w:pPr>
        <w:spacing w:after="120"/>
      </w:pPr>
      <w:r>
        <w:t xml:space="preserve">This document is the foundation layer for an AI-assisted floor plan layout generator targeting single-detached, mid-market houses in the Philippines. It separates the rules that govern a layout into two clearly distinct categories, because they behave very differently inside a generation or validation engine.</w:t>
      </w:r>
    </w:p>
    <w:p>
      <w:pPr>
        <w:spacing w:after="120"/>
      </w:pPr>
      <w:r>
        <w:rPr>
          <w:b/>
          <w:bCs/>
        </w:rPr>
        <w:t xml:space="preserve">Hard constraints</w:t>
      </w:r>
      <w:r>
        <w:t xml:space="preserve"> are statutory minimums drawn from PD 1096, the National Building Code of the Philippines (NBCP). A layout that violates any of these is illegal and cannot be permitted, so the engine must treat them as non-negotiable filters. </w:t>
      </w:r>
      <w:r>
        <w:rPr>
          <w:b/>
          <w:bCs/>
        </w:rPr>
        <w:t xml:space="preserve">Soft preferences</w:t>
      </w:r>
      <w:r>
        <w:t xml:space="preserve"> are design targets drawn from common Philippine residential practice — preferred room dimensions, room adjacencies, climate orientation and cultural spaces such as the dirty kitchen and service area. These are what make a layout feel right for a Filipino household, and the engine should optimize toward them while being free to trade them off.</w:t>
      </w:r>
    </w:p>
    <w:p>
      <w:pPr>
        <w:spacing w:after="120"/>
      </w:pPr>
      <w:r>
        <w:rPr>
          <w:b/>
          <w:bCs/>
        </w:rPr>
        <w:t xml:space="preserve">Recommended approach: </w:t>
      </w:r>
      <w:r>
        <w:t xml:space="preserve">build the knowledge base first (this phase), encode it as the machine-readable </w:t>
      </w:r>
      <w:r>
        <w:rPr>
          <w:rFonts w:ascii="Courier New" w:cs="Courier New" w:eastAsia="Courier New" w:hAnsi="Courier New"/>
        </w:rPr>
        <w:t xml:space="preserve">ph_floorplan_rules.json</w:t>
      </w:r>
      <w:r>
        <w:t xml:space="preserve"> file that accompanies this report, then build the validation engine before the generator. The validator is the lower-risk, higher-certainty component — it reuses exactly the same rule set, gives you a testable contract for what “compliant” means, and becomes the scoring function the generator optimizes against.</w:t>
      </w:r>
    </w:p>
    <w:p>
      <w:pPr>
        <w:pStyle w:val="Heading2"/>
      </w:pPr>
      <w:r>
        <w:t xml:space="preserve">Suggested phasing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(this deliverable): structured rules + preferences knowledge base, with code citations and a hard/soft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code-validation engine — takes a candidate layout (rooms as rectangles/polygons + lot) and returns errors, warnings, and suggestions against the rule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2D generator — places rooms on the lot subject to the hard constraints and optimizes the soft objectives, then runs every candidate through the Phase 2 validator before presenting it.</w:t>
      </w:r>
    </w:p>
    <w:p>
      <w:pPr>
        <w:pStyle w:val="Heading1"/>
      </w:pPr>
      <w:r>
        <w:t xml:space="preserve">2. Scope &amp; legal basis</w:t>
      </w:r>
    </w:p>
    <w:p>
      <w:pPr>
        <w:spacing w:after="120"/>
      </w:pPr>
      <w:r>
        <w:t xml:space="preserve">Segment: single-detached, mid-market homes. Under the NBCP these fall under </w:t>
      </w:r>
      <w:r>
        <w:rPr>
          <w:b/>
          <w:bCs/>
        </w:rPr>
        <w:t xml:space="preserve">Group A (Residential Dwellings)</w:t>
      </w:r>
      <w:r>
        <w:t xml:space="preserve">, so the governing dimensional rules are PD 1096 Sections 701, 704–708, and 801–811.</w:t>
      </w:r>
    </w:p>
    <w:p>
      <w:pPr>
        <w:spacing w:after="120"/>
      </w:pPr>
      <w:r>
        <w:t xml:space="preserve">Two adjacent regimes are deliberately out of scope but recorded for later. </w:t>
      </w:r>
      <w:r>
        <w:rPr>
          <w:b/>
          <w:bCs/>
        </w:rPr>
        <w:t xml:space="preserve">BP 220</w:t>
      </w:r>
      <w:r>
        <w:t xml:space="preserve"> sets smaller minimums (18–22 sqm minimum dwelling area) and applies only to economic/socialized housing — it does not govern this mid-market segment. The </w:t>
      </w:r>
      <w:r>
        <w:rPr>
          <w:b/>
          <w:bCs/>
        </w:rPr>
        <w:t xml:space="preserve">NBCP Implementing Rules &amp; Regulations (IRR, 2004)</w:t>
      </w:r>
      <w:r>
        <w:t xml:space="preserve"> and the relevant </w:t>
      </w:r>
      <w:r>
        <w:rPr>
          <w:b/>
          <w:bCs/>
        </w:rPr>
        <w:t xml:space="preserve">LGU zoning ordinance</w:t>
      </w:r>
      <w:r>
        <w:t xml:space="preserve"> refine setbacks, yards, road-right-of-way and parking ratios; PD 1096 gives only the floor (e.g. a flat 2 m from the property line). Anywhere this report states a setback finer than 2 m, it is flagged as “IRR/LGU — to confirm.”</w:t>
      </w:r>
    </w:p>
    <w:p>
      <w:pPr>
        <w:pStyle w:val="Heading1"/>
      </w:pPr>
      <w:r>
        <w:t xml:space="preserve">3. Hard constraints (PD 1096)</w:t>
      </w:r>
    </w:p>
    <w:p>
      <w:pPr>
        <w:spacing w:after="120"/>
      </w:pPr>
      <w:r>
        <w:t xml:space="preserve">These are statutory minimums. In the engine they act as filters: any candidate layout that breaches one is rejected (severity = error).</w:t>
      </w:r>
    </w:p>
    <w:p>
      <w:pPr>
        <w:pStyle w:val="Heading2"/>
      </w:pPr>
      <w:r>
        <w:t xml:space="preserve">3.1 Minimum room sizes (Sec. 806)</w:t>
      </w:r>
    </w:p>
    <w:p>
      <w:pPr>
        <w:spacing w:after="120"/>
      </w:pPr>
      <w:r>
        <w:t xml:space="preserve">The single most important table for layout generation. These are absolute floors — no generated room of the given type may be smaller in either area or least horizontal dimension.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700"/>
        <w:gridCol w:w="2100"/>
        <w:gridCol w:w="1600"/>
      </w:tblGrid>
      <w:tr>
        <w:trPr>
          <w:tblHeader/>
        </w:trP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Room type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Min.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Min. least dimension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Rooms for human habitation (bedroom, living, dining, etc.)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6.00 sqm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2.00 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806(1)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Kitchen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3.00 sqm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1.50 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806(2)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Bath &amp; toilet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1.20 sqm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0.90 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806(3)</w:t>
            </w:r>
          </w:p>
        </w:tc>
      </w:tr>
    </w:tbl>
    <w:p>
      <w:pPr>
        <w:pStyle w:val="Heading2"/>
      </w:pPr>
      <w:r>
        <w:t xml:space="preserve">3.2 Light, ventilation &amp; ceiling heights (Sec. 805, 808–810)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960"/>
        <w:gridCol w:w="170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Window free area (no artificial ventilation)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10% of room floor area, opening to court / yard / street / alley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808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Ceiling height — habitable, natural ventilation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2.70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805(a)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Ceiling height — habitable, artificial ventilation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2.40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805(a)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Ceiling height — multi-storey, 1st / 2nd storey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2.70 m / ≥ 2.40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805(a)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Headroom — succeeding storeys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2.10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805(a)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Air space per person, habitable rooms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14.00 cubic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807(3)</w:t>
            </w:r>
          </w:p>
        </w:tc>
      </w:tr>
    </w:tbl>
    <w:p>
      <w:pPr>
        <w:pStyle w:val="Heading2"/>
      </w:pPr>
      <w:r>
        <w:t xml:space="preserve">3.3 Interior rooms — courts &amp; vent shafts (Sec. 804, 809)</w:t>
      </w:r>
    </w:p>
    <w:p>
      <w:pPr>
        <w:spacing w:after="120"/>
      </w:pPr>
      <w:r>
        <w:t xml:space="preserve">This is how a room without an exterior wall (e.g. an interior toilet) is made legal. It is also a major driver of layout topology: every habitable room must ultimately reach light and 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160"/>
        <w:gridCol w:w="17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Court — minimum horizontal dimension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2.00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804(a)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Inner court connection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Passageway ≥ 1.20 m wide, or a door through room(s)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804(b)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Vent shaft — cross-section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0.10 sqm per metre of height; never &lt; 1.00 sqm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809(a)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Vent shaft — least dimension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600 mm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809(a)</w:t>
            </w:r>
          </w:p>
        </w:tc>
      </w:tr>
    </w:tbl>
    <w:p>
      <w:pPr>
        <w:pStyle w:val="Heading2"/>
      </w:pPr>
      <w:r>
        <w:t xml:space="preserve">3.4 Dwelling, lot &amp; circulation (Sec. 704, 708)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160"/>
        <w:gridCol w:w="17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Lot occupancy — inside lot / corner lot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≤ 80% / ≤ 90%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708(a), 802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Distance from property line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2.00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708(a)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Eaves over required windows from side/rear line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0.75 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704(a)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Must adjoin a public space / yard / street on ≥ 1 side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704(a)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Stairs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Clear width ≥ 750 mm; riser 200 mm; run ≥ 200 mm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708(h)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Entrance / exit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1 entrance and ≥ 1 exit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708(i)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Sanitation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1 sanitary toilet; washing + drainage facilities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Sec. 708(c), 901–903</w:t>
            </w:r>
          </w:p>
        </w:tc>
      </w:tr>
    </w:tbl>
    <w:p>
      <w:pPr>
        <w:pStyle w:val="Heading1"/>
      </w:pPr>
      <w:r>
        <w:t xml:space="preserve">4. Preferred (target) dimensions</w:t>
      </w:r>
    </w:p>
    <w:p>
      <w:pPr>
        <w:spacing w:after="120"/>
      </w:pPr>
      <w:r>
        <w:t xml:space="preserve">The code minimums are far below what mid-market buyers expect — a 2.0 m × 3.0 m bedroom is legal but uncomfortable. The table below gives the target ranges the generator should aim for, gathered from common Philippine residential practice. These are soft objectives (severity = suggestion if missed).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2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Room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 minimum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Comfortable minimum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Preferred range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Bedroom (standard)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6.0 sqm / 2.0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2.5 × 3.0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× 3.5 m (9–12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Master bedroom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6.0 sqm / 2.0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× 3.5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3.5 × 4.5 m (12–20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Living room / sala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6.0 sqm / 2.0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3.5 × 5.0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4.5 × 6.0 m (16–27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Dining area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6.0 sqm / 2.0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× 3.0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× 4.0 m (10–16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Kitchen (main)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sqm / 1.5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2.0 × 2.0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2.5 × 3.5 m (6–12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Dirty kitchen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sqm / 1.5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2.0 × 2.0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2.0 × 3.0 m (4–9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Bath &amp; toilet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1.2 sqm / 0.9 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1.0 × 2.0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1.8 × 2.1 m (3–4.5 sqm)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Service / laundry area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1.5 × 3.0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4–9 sqm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Lanai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2.0 × 3.0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6–16 sqm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Carport (sedan / SUV)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2.5 × 5.0 m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3.0 × 5.5 m; double 5.5 × 5.5 m</w:t>
            </w:r>
          </w:p>
        </w:tc>
      </w:tr>
    </w:tbl>
    <w:p>
      <w:pPr>
        <w:spacing w:after="120"/>
      </w:pPr>
      <w:r>
        <w:rPr>
          <w:b/>
          <w:bCs/>
        </w:rPr>
        <w:t xml:space="preserve">Circulation &amp; openings (soft): </w:t>
      </w:r>
      <w:r>
        <w:t xml:space="preserve">hallway clear width 0.90 m minimum, 1.0–1.2 m preferred; doors 800 mm general / 700 mm bath / 900 mm main entry; preferred window area ~15% of floor (vs the 10% legal floor); ceilings 2.7–3.0 m for passive cooling.</w:t>
      </w:r>
    </w:p>
    <w:p>
      <w:pPr>
        <w:pStyle w:val="Heading1"/>
      </w:pPr>
      <w:r>
        <w:t xml:space="preserve">5. Philippine design preferences &amp; spatial logic</w:t>
      </w:r>
    </w:p>
    <w:p>
      <w:pPr>
        <w:spacing w:after="120"/>
      </w:pPr>
      <w:r>
        <w:t xml:space="preserve">These are the patterns that make a plan read as a Filipino home rather than a generic one. They should be encoded as adjacency rules and zone assignments the generator optimizes toward.</w:t>
      </w:r>
    </w:p>
    <w:p>
      <w:pPr>
        <w:pStyle w:val="Heading2"/>
      </w:pPr>
      <w:r>
        <w:t xml:space="preserve">5.1 Three-zone organization</w:t>
      </w:r>
    </w:p>
    <w:p>
      <w:pPr>
        <w:spacing w:after="120"/>
      </w:pPr>
      <w:r>
        <w:t xml:space="preserve">Filipino homes are zoned into public, private and service areas. Keeping these coherent — and buffered from one another — is the backbone of a good layout.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Public zone: </w:t>
      </w:r>
      <w:r>
        <w:t xml:space="preserve">living room (sala), dining, foyer, lanai, guest powder room. Sits on the arrival side, adjacent to the main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Private zone: </w:t>
      </w:r>
      <w:r>
        <w:t xml:space="preserve">bedrooms clustered together as sleeping quarters, buffered acoustically and visually from public and service zones.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 zone: </w:t>
      </w:r>
      <w:r>
        <w:t xml:space="preserve">kitchen, dirty kitchen, service/laundry area, maid's room, carport. The kitchen–dining–service “loop” supports multitasking without congestion and is kept discreet from living areas.</w:t>
      </w:r>
    </w:p>
    <w:p>
      <w:pPr>
        <w:pStyle w:val="Heading2"/>
      </w:pPr>
      <w:r>
        <w:t xml:space="preserve">5.2 Signature Filipino spaces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Dirty kitchen (service kitchen): </w:t>
      </w:r>
      <w:r>
        <w:t xml:space="preserve">a near-universal expectation. Heavy, aromatic frying/grilling happens here, keeping the main kitchen clean. Placed at the rear, adjacent to the main kitchen, well ventilated and often semi-outdoor with direct exterior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 area: </w:t>
      </w:r>
      <w:r>
        <w:t xml:space="preserve">laundry, washing and drying — discreet from living zones, benefits from daylight for drying, typically grouped with the dirty kitchen at the rear.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Maid's / helper's room: </w:t>
      </w:r>
      <w:r>
        <w:t xml:space="preserve">when included, placed beside the kitchen on the ground floor for service convenience. As a habitable room it must still meet the 6.0 sqm / 2.0 m minimum.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Lanai: </w:t>
      </w:r>
      <w:r>
        <w:t xml:space="preserve">a covered outdoor extension of the living/dining area for gatherings and al fresco dining, opened up with wide sliding doors to the rear yard.</w:t>
      </w:r>
    </w:p>
    <w:p>
      <w:pPr>
        <w:pStyle w:val="Heading2"/>
      </w:pPr>
      <w:r>
        <w:t xml:space="preserve">5.3 Tropical orientation &amp; ventilation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Prevailing winds: north-easterly (amihan, Oct–Mar) and south-westerly (habagat, Apr–Sep). Orient living and sleeping openings to catch these for cross-ventilation.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Minimize large unshaded openings on the east and west facades to cut morning/afternoon solar gain; favor north and south exposures for habitable rooms.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service spaces (carport, storage, service area) as thermal buffers on the hot east/west facades.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Aim for openings on at least two walls of each habitable room to enable a cross-breeze; passive cooling can cut energy use by roughly 20%.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roof overhangs / eaves to shade sun-exposed openings.</w:t>
      </w:r>
    </w:p>
    <w:p>
      <w:pPr>
        <w:pStyle w:val="Heading1"/>
      </w:pPr>
      <w:r>
        <w:t xml:space="preserve">6. The constraint model</w:t>
      </w:r>
    </w:p>
    <w:p>
      <w:pPr>
        <w:spacing w:after="120"/>
      </w:pPr>
      <w:r>
        <w:t xml:space="preserve">The accompanying </w:t>
      </w:r>
      <w:r>
        <w:rPr>
          <w:rFonts w:ascii="Courier New" w:cs="Courier New" w:eastAsia="Courier New" w:hAnsi="Courier New"/>
        </w:rPr>
        <w:t xml:space="preserve">ph_floorplan_rules.json</w:t>
      </w:r>
      <w:r>
        <w:t xml:space="preserve"> file encodes everything above in a form both the validator and the generator can read. The model has three parts: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global_constraints</w:t>
      </w:r>
      <w:r>
        <w:t xml:space="preserve"> — lot, setback, ceiling, stair, egress, sanitation, light/ventilation, court and vent-shaft rules that apply to the whole dwelling.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room_catalog</w:t>
      </w:r>
      <w:r>
        <w:t xml:space="preserve"> — one entry per room type, each carrying its hard minimums (with code citation), soft preferred dimensions, and adjacency hints (prefer_near / avoid_near / zone / cluster).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zoning_model &amp; orientation_model</w:t>
      </w:r>
      <w:r>
        <w:t xml:space="preserve"> — the public/private/service grouping rules and the tropical-orientation heuristics, expressed as soft rules.</w:t>
      </w:r>
    </w:p>
    <w:p>
      <w:pPr>
        <w:spacing w:after="120"/>
      </w:pPr>
      <w:r>
        <w:t xml:space="preserve">Every rule carries a </w:t>
      </w:r>
      <w:r>
        <w:rPr>
          <w:rFonts w:ascii="Courier New" w:cs="Courier New" w:eastAsia="Courier New" w:hAnsi="Courier New"/>
        </w:rPr>
        <w:t xml:space="preserve">source</w:t>
      </w:r>
      <w:r>
        <w:t xml:space="preserve"> field. Statutory rules cite the PD 1096 section; preference rules are marked “PH residential practice”; and anything needing the IRR or LGU ordinance is explicitly flagged “IRR/LGU — to confirm,” so nothing unverified is silently treated as law.</w:t>
      </w:r>
    </w:p>
    <w:p>
      <w:pPr>
        <w:pStyle w:val="Heading2"/>
      </w:pPr>
      <w:r>
        <w:t xml:space="preserve">6.1 Severity levels for the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60"/>
        <w:gridCol w:w="35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Engine behaviour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Violates a hard (statutory) constraint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Reject / block the layout; must be fixed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Warning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Violates an IRR/LGU rule still to be confirmed per project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Flag for human review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Suggestion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Outside a soft preference target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Legal but sub-optimal; lower the layout's score</w:t>
            </w:r>
          </w:p>
        </w:tc>
      </w:tr>
    </w:tbl>
    <w:p>
      <w:pPr>
        <w:pStyle w:val="Heading1"/>
      </w:pPr>
      <w:r>
        <w:t xml:space="preserve">7. Recommended prototype architecture</w:t>
      </w:r>
    </w:p>
    <w:p>
      <w:pPr>
        <w:spacing w:after="120"/>
      </w:pPr>
      <w:r>
        <w:t xml:space="preserve">Both target components — the 2D generator and the validation engine — read the same rule file. Build the validator first.</w:t>
      </w:r>
    </w:p>
    <w:p>
      <w:pPr>
        <w:pStyle w:val="Heading2"/>
      </w:pPr>
      <w:r>
        <w:t xml:space="preserve">7.1 Validation engine (build first)</w:t>
      </w:r>
    </w:p>
    <w:p>
      <w:pPr>
        <w:spacing w:after="120"/>
      </w:pPr>
      <w:r>
        <w:t xml:space="preserve">Input: a candidate layout (room polygons/rectangles with types + the lot boundary). The engine checks each room and the whole dwelling against the rule set and returns a structured list of errors, warnings and suggestions. Because it is deterministic and testable, it doubles as the acceptance test suite and as the scoring function for the generator.</w:t>
      </w:r>
    </w:p>
    <w:p>
      <w:pPr>
        <w:pStyle w:val="Heading2"/>
      </w:pPr>
      <w:r>
        <w:t xml:space="preserve">7.2 2D generator (build second)</w:t>
      </w:r>
    </w:p>
    <w:p>
      <w:pPr>
        <w:spacing w:after="120"/>
      </w:pPr>
      <w:r>
        <w:t xml:space="preserve">A constraint-satisfaction + optimization problem. Hard constraints define the feasible region (room minimums, setbacks, occupancy cap, light/ventilation access); soft preferences define the objective to maximize (preferred dimensions hit, good adjacencies, sensible zoning, favorable orientation). Practical starting techniques include a rectangular space-partitioning / treemap-style subdivision of the buildable envelope, or a grid/graph placement seeded by the zoning model, with every candidate run through the validator before it is shown.</w:t>
      </w:r>
    </w:p>
    <w:p>
      <w:pPr>
        <w:spacing w:after="120"/>
      </w:pPr>
      <w:r>
        <w:rPr>
          <w:b/>
          <w:bCs/>
        </w:rPr>
        <w:t xml:space="preserve">Suggested first milestone: </w:t>
      </w:r>
      <w:r>
        <w:t xml:space="preserve">hard-code a fixed room program (e.g. 3 bedrooms, 2 T&amp;B, living, dining, kitchen, dirty kitchen, service area, carport) on a typical 120–200 sqm lot, generate a handful of candidate layouts, and validate each. This proves the rule file and the validator end-to-end before investing in a sophisticated solver.</w:t>
      </w:r>
    </w:p>
    <w:p>
      <w:pPr>
        <w:pStyle w:val="Heading1"/>
      </w:pPr>
      <w:r>
        <w:t xml:space="preserve">8. Caveats &amp;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the IRR &amp; LGU layer. </w:t>
      </w:r>
      <w:r>
        <w:t xml:space="preserve">Setbacks finer than 2 m, parking ratios and road-right-of-way come from the NBCP IRR (2004) and the local zoning ordinance, which vary by city/municipality. These should be loaded per project and currently sit as flagged placeholders.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Validate preferred dimensions with a local architect. </w:t>
      </w:r>
      <w:r>
        <w:t xml:space="preserve">The target ranges reflect widely published practice but should be reviewed against your own design standards and target buyer profile before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Decide the room program model. </w:t>
      </w:r>
      <w:r>
        <w:t xml:space="preserve">How will users specify what rooms they want (fixed templates vs free program)? This shapes the generator's input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for fire/structural rules later. </w:t>
      </w:r>
      <w:r>
        <w:t xml:space="preserve">Fire-resistive and structural provisions (Chapters 4–6) matter for construction documents but are largely not layout-shaping; defer them past the prototype.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units &amp; lot assumptions. </w:t>
      </w:r>
      <w:r>
        <w:t xml:space="preserve">The model is metric throughout. Typical mid-market lots run ~120–200 sqm; confirm the lot-size band you are targeting.</w:t>
      </w:r>
    </w:p>
    <w:p>
      <w:pPr>
        <w:pStyle w:val="Heading1"/>
      </w:pPr>
      <w:r>
        <w:t xml:space="preserve">9. Sources</w:t>
      </w:r>
    </w:p>
    <w:p>
      <w:pPr>
        <w:spacing w:after="120"/>
      </w:pPr>
      <w:r>
        <w:t xml:space="preserve">Primary legal source: PD 1096 — National Building Code of the Philippines (uploaded text), Sections 701, 704–708, 801–811, 901–903.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gh9fhwimg7ki2tozlwvbc">
        <w:r>
          <w:rPr>
            <w:rStyle w:val="Hyperlink"/>
          </w:rPr>
          <w:t xml:space="preserve">National Building Code of the Philippines (PD 1096) — full text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dhgkwlhhmao-nmcerpgeg">
        <w:r>
          <w:rPr>
            <w:rStyle w:val="Hyperlink"/>
          </w:rPr>
          <w:t xml:space="preserve">Standard Residential House Dimensions (Philippines)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4clh0m782myesiumuxq1">
        <w:r>
          <w:rPr>
            <w:rStyle w:val="Hyperlink"/>
          </w:rPr>
          <w:t xml:space="preserve">Ideal House Size for a Filipino Family — Minami Residences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p_ar6z1gtgr8mj8tivhd-">
        <w:r>
          <w:rPr>
            <w:rStyle w:val="Hyperlink"/>
          </w:rPr>
          <w:t xml:space="preserve">BP 220: Housing and Land Use — VIZCODE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wxfeui0ajgrkvm7c_2bdr">
        <w:r>
          <w:rPr>
            <w:rStyle w:val="Hyperlink"/>
          </w:rPr>
          <w:t xml:space="preserve">Revised IRR of BP 220 (2008) — DHSUD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adf06nqh7wummpw0y56zf">
        <w:r>
          <w:rPr>
            <w:rStyle w:val="Hyperlink"/>
          </w:rPr>
          <w:t xml:space="preserve">Tropical Architecture: Climate Design in the Philippines — Fulgar Architects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rzsteiavbkrfbqwirb3ps">
        <w:r>
          <w:rPr>
            <w:rStyle w:val="Hyperlink"/>
          </w:rPr>
          <w:t xml:space="preserve">Climate-Responsive House Designs — Philippine House Designs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naiqeq-vzci93t6hr0vna">
        <w:r>
          <w:rPr>
            <w:rStyle w:val="Hyperlink"/>
          </w:rPr>
          <w:t xml:space="preserve">How Filipino Homes Maximize Space with Smart Design — PHINMA Properties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qlxzdyg7f_vr8h_os4l18">
        <w:r>
          <w:rPr>
            <w:rStyle w:val="Hyperlink"/>
          </w:rPr>
          <w:t xml:space="preserve">Creative Dirty Kitchen Ideas for Filipino Homes — Coohom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AI Solution Maven  ·  PH Floor Plan Generator — Phase 1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h9fhwimg7ki2tozlwvbc" Type="http://schemas.openxmlformats.org/officeDocument/2006/relationships/hyperlink" Target="https://chanrobles.com/republicactno6541.htm" TargetMode="External"/><Relationship Id="rIddhgkwlhhmao-nmcerpgeg" Type="http://schemas.openxmlformats.org/officeDocument/2006/relationships/hyperlink" Target="https://www.scribd.com/document/878797588/Standard-Residential-House-Dimensions" TargetMode="External"/><Relationship Id="rIdb4clh0m782myesiumuxq1" Type="http://schemas.openxmlformats.org/officeDocument/2006/relationships/hyperlink" Target="https://minamiresidences.com.ph/ideal-house-size-for-a-filipino-family/" TargetMode="External"/><Relationship Id="rIdp_ar6z1gtgr8mj8tivhd-" Type="http://schemas.openxmlformats.org/officeDocument/2006/relationships/hyperlink" Target="https://vizcodeph.com/code-library/bp-220-housing-and-land-use/" TargetMode="External"/><Relationship Id="rIdwxfeui0ajgrkvm7c_2bdr" Type="http://schemas.openxmlformats.org/officeDocument/2006/relationships/hyperlink" Target="https://dhsud.gov.ph/wp-content/uploads/Laws_Issuances/02_IRR/Revised_IRR_BP220_2008.pdf" TargetMode="External"/><Relationship Id="rIdadf06nqh7wummpw0y56zf" Type="http://schemas.openxmlformats.org/officeDocument/2006/relationships/hyperlink" Target="https://fulgararchitects.com/tropical-climate-design-meets-philippine-architecture/" TargetMode="External"/><Relationship Id="rIdrzsteiavbkrfbqwirb3ps" Type="http://schemas.openxmlformats.org/officeDocument/2006/relationships/hyperlink" Target="https://philippinehousedesigns.com/product-category/climate-responsive/" TargetMode="External"/><Relationship Id="rIdnaiqeq-vzci93t6hr0vna" Type="http://schemas.openxmlformats.org/officeDocument/2006/relationships/hyperlink" Target="https://phinmaproperties.com/blogs-articles/maayo/phinma-maayo-tugbok/smart-living-and-space-saving-tips-for-filipino-homes/" TargetMode="External"/><Relationship Id="rIdqlxzdyg7f_vr8h_os4l18" Type="http://schemas.openxmlformats.org/officeDocument/2006/relationships/hyperlink" Target="https://www.coohom.com/article/creative-dirty-kitchen-ideas-for-filipino-homes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 Floor Plan Generator — Phase 1 Rules &amp; Preferences</dc:title>
  <dc:creator>AI Solution Maven</dc:creator>
  <cp:lastModifiedBy>Un-named</cp:lastModifiedBy>
  <cp:revision>1</cp:revision>
  <dcterms:created xsi:type="dcterms:W3CDTF">2026-05-24T00:39:19.805Z</dcterms:created>
  <dcterms:modified xsi:type="dcterms:W3CDTF">2026-05-24T00:39:19.806Z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