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24A0E"/>
          <w:sz w:val="20"/>
          <w:szCs w:val="20"/>
        </w:rPr>
        <w:t xml:space="preserve">INFORME TÉCNICO</w:t>
      </w:r>
    </w:p>
    <w:p>
      <w:pPr>
        <w:spacing w:after="80"/>
      </w:pPr>
      <w:r>
        <w:rPr>
          <w:rFonts w:ascii="Arial" w:cs="Arial" w:eastAsia="Arial" w:hAnsi="Arial"/>
          <w:b/>
          <w:bCs/>
          <w:color w:val="1F3A5F"/>
          <w:sz w:val="36"/>
          <w:szCs w:val="36"/>
        </w:rPr>
        <w:t xml:space="preserve">Marmita eléctrica de volteo 300 L (MTAHS300ELSERY)</w:t>
      </w:r>
    </w:p>
    <w:p>
      <w:pPr>
        <w:pBdr>
          <w:bottom w:val="single" w:color="1F3A5F" w:sz="8" w:space="6"/>
        </w:pBdr>
        <w:spacing w:after="240"/>
      </w:pPr>
      <w:r>
        <w:rPr>
          <w:rFonts w:ascii="Arial" w:cs="Arial" w:eastAsia="Arial" w:hAnsi="Arial"/>
          <w:color w:val="404040"/>
          <w:sz w:val="24"/>
          <w:szCs w:val="24"/>
        </w:rPr>
        <w:t xml:space="preserve">Análisis de la operación del interruptor del circuito derivado</w:t>
      </w:r>
    </w:p>
    <w:p>
      <w:pPr>
        <w:pStyle w:val="Heading1"/>
        <w:spacing w:after="140" w:before="300"/>
      </w:pPr>
      <w:r>
        <w:rPr>
          <w:rFonts w:ascii="Arial" w:cs="Arial" w:eastAsia="Arial" w:hAnsi="Arial"/>
          <w:b/>
          <w:bCs/>
          <w:color w:val="1F3A5F"/>
          <w:sz w:val="28"/>
          <w:szCs w:val="28"/>
        </w:rPr>
        <w:t xml:space="preserve">1. Objetivo</w:t>
      </w:r>
    </w:p>
    <w:p>
      <w:pPr>
        <w:spacing w:after="120"/>
      </w:pPr>
      <w:r>
        <w:rPr>
          <w:rFonts w:ascii="Arial" w:cs="Arial" w:eastAsia="Arial" w:hAnsi="Arial"/>
          <w:sz w:val="22"/>
          <w:szCs w:val="22"/>
        </w:rPr>
        <w:t xml:space="preserve">Determinar la causa por la que opera el interruptor del circuito derivado de la marmita, comparando la información técnica entregada por el proveedor con las mediciones del analizador de redes, y proponer la corrección de la instalación.</w:t>
      </w:r>
    </w:p>
    <w:p>
      <w:pPr>
        <w:pStyle w:val="Heading1"/>
        <w:spacing w:after="140" w:before="300"/>
      </w:pPr>
      <w:r>
        <w:rPr>
          <w:rFonts w:ascii="Arial" w:cs="Arial" w:eastAsia="Arial" w:hAnsi="Arial"/>
          <w:b/>
          <w:bCs/>
          <w:color w:val="1F3A5F"/>
          <w:sz w:val="28"/>
          <w:szCs w:val="28"/>
        </w:rPr>
        <w:t xml:space="preserve">2. Información inicial del proveedor (base del diseño)</w:t>
      </w:r>
    </w:p>
    <w:p>
      <w:pPr>
        <w:spacing w:after="120"/>
      </w:pPr>
      <w:r>
        <w:rPr>
          <w:rFonts w:ascii="Arial" w:cs="Arial" w:eastAsia="Arial" w:hAnsi="Arial"/>
          <w:sz w:val="22"/>
          <w:szCs w:val="22"/>
        </w:rPr>
        <w:t xml:space="preserve">El diseño de la instalación se realizó con la ficha técnica inicial y con la corriente nominal que el proveedor informó por escrito.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Concepto</w:t>
            </w:r>
          </w:p>
        </w:tc>
        <w:tc>
          <w:tcPr>
            <w:tcW w:type="dxa" w:w="576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Ficha técnica inicial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Tipo de conexión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“Conexión trifásica de 220V” (pág. 1, Descripción general, tercer párrafo)</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Potencia total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Corriente nominal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 en la ficha. El proveedor informó por escrito 82 A nominales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Potencia de resistencias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 (solo menciona calentamiento por resistencias eléctricas)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 ancla</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2.2 kW, 0–36 rpm, con variador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 homogeneizador</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5.5 kW, 0–1,750 rpm, con variador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Protección interna del gabinete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w:t>
            </w:r>
          </w:p>
        </w:tc>
      </w:tr>
    </w:tbl>
    <w:p>
      <w:pPr>
        <w:spacing w:after="60"/>
      </w:pPr>
    </w:p>
    <w:p>
      <w:pPr>
        <w:spacing w:after="120"/>
      </w:pPr>
      <w:r>
        <w:rPr>
          <w:rFonts w:ascii="Arial" w:cs="Arial" w:eastAsia="Arial" w:hAnsi="Arial"/>
          <w:b/>
          <w:bCs/>
          <w:sz w:val="22"/>
          <w:szCs w:val="22"/>
        </w:rPr>
        <w:t xml:space="preserve">Instalación diseñada con 82 A nominales: </w:t>
      </w:r>
      <w:r>
        <w:rPr>
          <w:rFonts w:ascii="Arial" w:cs="Arial" w:eastAsia="Arial" w:hAnsi="Arial"/>
          <w:sz w:val="22"/>
          <w:szCs w:val="22"/>
        </w:rPr>
        <w:t xml:space="preserve">interruptor 2×100 A enchufable en tablero trifásico, alimentador de 2 fases cal. 2 AWG (115 A a 75 °C), sin neutro, y conductor de puesta a tierra cal. 8 AWG.</w:t>
      </w:r>
    </w:p>
    <w:p>
      <w:pPr>
        <w:pStyle w:val="Heading1"/>
        <w:spacing w:after="140" w:before="300"/>
      </w:pPr>
      <w:r>
        <w:rPr>
          <w:rFonts w:ascii="Arial" w:cs="Arial" w:eastAsia="Arial" w:hAnsi="Arial"/>
          <w:b/>
          <w:bCs/>
          <w:color w:val="1F3A5F"/>
          <w:sz w:val="28"/>
          <w:szCs w:val="28"/>
        </w:rPr>
        <w:t xml:space="preserve">3. Información final del proveedor (manual del equipo)</w:t>
      </w:r>
    </w:p>
    <w:p>
      <w:pPr>
        <w:spacing w:after="120"/>
      </w:pPr>
      <w:r>
        <w:rPr>
          <w:rFonts w:ascii="Arial" w:cs="Arial" w:eastAsia="Arial" w:hAnsi="Arial"/>
          <w:sz w:val="22"/>
          <w:szCs w:val="22"/>
        </w:rPr>
        <w:t xml:space="preserve">Posteriormente se recibió el manual del equipo, cuyos datos eléctricos difieren de la información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Concepto</w:t>
            </w:r>
          </w:p>
        </w:tc>
        <w:tc>
          <w:tcPr>
            <w:tcW w:type="dxa" w:w="318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Información inicial</w:t>
            </w:r>
          </w:p>
        </w:tc>
        <w:tc>
          <w:tcPr>
            <w:tcW w:type="dxa" w:w="318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Manual final</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Tipo de conexión</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Trifásica 220 V</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Bifásica 220 V</w:t>
            </w:r>
          </w:p>
        </w:tc>
      </w:tr>
      <w:tr>
        <w:tc>
          <w:tcPr>
            <w:tcW w:type="dxa" w:w="30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Potencia total</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No indicada</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25.7 kW</w:t>
            </w:r>
          </w:p>
        </w:tc>
      </w:tr>
      <w:tr>
        <w:tc>
          <w:tcPr>
            <w:tcW w:type="dxa" w:w="30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Corriente nominal</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82 A (informada por escrito)</w:t>
            </w:r>
          </w:p>
        </w:tc>
        <w:tc>
          <w:tcPr>
            <w:tcW w:type="dxa" w:w="31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140 A</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Resistencias</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indicada</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18 kW</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Motores</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2.2 kW + 5.5 kW</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2.2 kW + 5.5 kW</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Interruptor interno del gabinete</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No indicado</w:t>
            </w:r>
          </w:p>
        </w:tc>
        <w:tc>
          <w:tcPr>
            <w:tcW w:type="dxa" w:w="31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2×125 A (verificado en sitio)</w:t>
            </w:r>
          </w:p>
        </w:tc>
      </w:tr>
    </w:tbl>
    <w:p>
      <w:pPr>
        <w:spacing w:after="60"/>
      </w:pPr>
    </w:p>
    <w:p>
      <w:pPr>
        <w:spacing w:after="120"/>
      </w:pPr>
      <w:r>
        <w:rPr>
          <w:rFonts w:ascii="Arial" w:cs="Arial" w:eastAsia="Arial" w:hAnsi="Arial"/>
          <w:b/>
          <w:bCs/>
          <w:sz w:val="22"/>
          <w:szCs w:val="22"/>
        </w:rPr>
        <w:t xml:space="preserve">Observación: </w:t>
      </w:r>
      <w:r>
        <w:rPr>
          <w:rFonts w:ascii="Arial" w:cs="Arial" w:eastAsia="Arial" w:hAnsi="Arial"/>
          <w:sz w:val="22"/>
          <w:szCs w:val="22"/>
        </w:rPr>
        <w:t xml:space="preserve">los 82 A informados corresponden solo a las resistencias (18 kW ÷ 220 V = 82 A). La corriente de placa de 140 A incluye además los dos motores con sus variadores (7.7 kW). La diferencia, cercana a 58 A, no fue considerada en la información inicial.</w:t>
      </w:r>
    </w:p>
    <w:p>
      <w:pPr>
        <w:pStyle w:val="Heading1"/>
        <w:spacing w:after="140" w:before="300"/>
      </w:pPr>
      <w:r>
        <w:rPr>
          <w:rFonts w:ascii="Arial" w:cs="Arial" w:eastAsia="Arial" w:hAnsi="Arial"/>
          <w:b/>
          <w:bCs/>
          <w:color w:val="1F3A5F"/>
          <w:sz w:val="28"/>
          <w:szCs w:val="28"/>
        </w:rPr>
        <w:t xml:space="preserve">4. Resultados del analizador de redes</w:t>
      </w:r>
    </w:p>
    <w:p>
      <w:pPr>
        <w:pStyle w:val="Heading2"/>
        <w:spacing w:after="100" w:before="200"/>
      </w:pPr>
      <w:r>
        <w:rPr>
          <w:rFonts w:ascii="Arial" w:cs="Arial" w:eastAsia="Arial" w:hAnsi="Arial"/>
          <w:b/>
          <w:bCs/>
          <w:color w:val="1F3A5F"/>
          <w:sz w:val="24"/>
          <w:szCs w:val="24"/>
        </w:rPr>
        <w:t xml:space="preserve">4.1 Condiciones de la medición</w:t>
      </w:r>
    </w:p>
    <w:p>
      <w:pPr>
        <w:pStyle w:val="ListParagraph"/>
        <w:numPr>
          <w:ilvl w:val="0"/>
          <w:numId w:val="2"/>
        </w:numPr>
        <w:spacing w:after="80"/>
      </w:pPr>
      <w:r>
        <w:rPr>
          <w:rFonts w:ascii="Arial" w:cs="Arial" w:eastAsia="Arial" w:hAnsi="Arial"/>
          <w:sz w:val="22"/>
          <w:szCs w:val="22"/>
        </w:rPr>
        <w:t xml:space="preserve">Analizador KEW 6315 instalado en el alimentador de la marmita, con registro cada 5 minutos (promedio, máximo y mínimo).</w:t>
      </w:r>
    </w:p>
    <w:p>
      <w:pPr>
        <w:pStyle w:val="ListParagraph"/>
        <w:numPr>
          <w:ilvl w:val="0"/>
          <w:numId w:val="2"/>
        </w:numPr>
        <w:spacing w:after="80"/>
      </w:pPr>
      <w:r>
        <w:rPr>
          <w:rFonts w:ascii="Arial" w:cs="Arial" w:eastAsia="Arial" w:hAnsi="Arial"/>
          <w:sz w:val="22"/>
          <w:szCs w:val="22"/>
        </w:rPr>
        <w:t xml:space="preserve">Registro de 20 h 45 min. El equipo operó de 07:31 a 13:26; antes y después no hubo carga conectada. Las horas de este informe están corregidas: el reloj del analizador quedó desfasado 7 horas.</w:t>
      </w:r>
    </w:p>
    <w:p>
      <w:pPr>
        <w:pStyle w:val="ListParagraph"/>
        <w:numPr>
          <w:ilvl w:val="0"/>
          <w:numId w:val="2"/>
        </w:numPr>
        <w:spacing w:after="80"/>
      </w:pPr>
      <w:r>
        <w:rPr>
          <w:rFonts w:ascii="Arial" w:cs="Arial" w:eastAsia="Arial" w:hAnsi="Arial"/>
          <w:sz w:val="22"/>
          <w:szCs w:val="22"/>
        </w:rPr>
        <w:t xml:space="preserve">El canal de corriente A1 no registró señal (0 A en todo el periodo); se utiliza el canal A2. En una carga conectada entre dos fases sin neutro, la corriente es la misma en ambas fases.</w:t>
      </w:r>
    </w:p>
    <w:p>
      <w:pPr>
        <w:pStyle w:val="ListParagraph"/>
        <w:numPr>
          <w:ilvl w:val="0"/>
          <w:numId w:val="2"/>
        </w:numPr>
        <w:spacing w:after="80"/>
      </w:pPr>
      <w:r>
        <w:rPr>
          <w:rFonts w:ascii="Arial" w:cs="Arial" w:eastAsia="Arial" w:hAnsi="Arial"/>
          <w:sz w:val="22"/>
          <w:szCs w:val="22"/>
        </w:rPr>
        <w:t xml:space="preserve">El día de la medición no operó la protección.</w:t>
      </w:r>
    </w:p>
    <w:p>
      <w:pPr>
        <w:pStyle w:val="Heading2"/>
        <w:spacing w:after="100" w:before="200"/>
      </w:pPr>
      <w:r>
        <w:rPr>
          <w:rFonts w:ascii="Arial" w:cs="Arial" w:eastAsia="Arial" w:hAnsi="Arial"/>
          <w:b/>
          <w:bCs/>
          <w:color w:val="1F3A5F"/>
          <w:sz w:val="24"/>
          <w:szCs w:val="24"/>
        </w:rPr>
        <w:t xml:space="preserve">4.2 Perfil de corriente</w:t>
      </w:r>
    </w:p>
    <w:p>
      <w:pPr>
        <w:spacing w:after="80"/>
        <w:jc w:val="center"/>
      </w:pPr>
      <w:r>
        <w:drawing>
          <wp:inline distT="0" distB="0" distL="0" distR="0">
            <wp:extent cx="5943600" cy="2638425"/>
            <wp:effectExtent t="0" r="0" b="0" l="0"/>
            <wp:docPr id="1" name="perfil" descr="Corriente promedio y máxima de 14:00 a 21:00 con líneas de 100, 125 y 150 A" title="Perfil de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638425"/>
                    </a:xfrm>
                    <a:prstGeom prst="rect">
                      <a:avLst/>
                    </a:prstGeom>
                  </pic:spPr>
                </pic:pic>
              </a:graphicData>
            </a:graphic>
          </wp:inline>
        </w:drawing>
      </w:r>
    </w:p>
    <w:p>
      <w:pPr>
        <w:spacing w:after="200"/>
        <w:jc w:val="center"/>
      </w:pPr>
      <w:r>
        <w:rPr>
          <w:rFonts w:ascii="Arial" w:cs="Arial" w:eastAsia="Arial" w:hAnsi="Arial"/>
          <w:i/>
          <w:iCs/>
          <w:color w:val="595959"/>
          <w:sz w:val="18"/>
          <w:szCs w:val="18"/>
        </w:rPr>
        <w:t xml:space="preserve">Figura 1. Corriente del equipo por intervalo de 5 minutos (canal A2).</w:t>
      </w:r>
    </w:p>
    <w:p>
      <w:pPr>
        <w:pStyle w:val="Heading2"/>
        <w:spacing w:after="100" w:before="200"/>
      </w:pPr>
      <w:r>
        <w:rPr>
          <w:rFonts w:ascii="Arial" w:cs="Arial" w:eastAsia="Arial" w:hAnsi="Arial"/>
          <w:b/>
          <w:bCs/>
          <w:color w:val="1F3A5F"/>
          <w:sz w:val="24"/>
          <w:szCs w:val="24"/>
        </w:rPr>
        <w:t xml:space="preserve">4.3 Corriente por etapa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1500"/>
        <w:gridCol w:w="2860"/>
      </w:tblGrid>
      <w:tr>
        <w:trPr>
          <w:tblHeader/>
        </w:trPr>
        <w:tc>
          <w:tcPr>
            <w:tcW w:type="dxa" w:w="29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Etapa</w:t>
            </w:r>
          </w:p>
        </w:tc>
        <w:tc>
          <w:tcPr>
            <w:tcW w:type="dxa" w:w="21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Horario</w:t>
            </w:r>
          </w:p>
        </w:tc>
        <w:tc>
          <w:tcPr>
            <w:tcW w:type="dxa" w:w="1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Corriente</w:t>
            </w:r>
          </w:p>
        </w:tc>
        <w:tc>
          <w:tcPr>
            <w:tcW w:type="dxa" w:w="286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Observación</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Solo resistencias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07:31–07:51 y 11:41–11:56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79–81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Estable; coincide con los 82 A informados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Control de temperatura</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07:56–08:51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0–85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El pirómetro conecta y desconecta resistencias</w:t>
            </w:r>
          </w:p>
        </w:tc>
      </w:tr>
      <w:tr>
        <w:tc>
          <w:tcPr>
            <w:tcW w:type="dxa" w:w="29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Resistencias + motores</w:t>
            </w:r>
          </w:p>
        </w:tc>
        <w:tc>
          <w:tcPr>
            <w:tcW w:type="dxa" w:w="21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09:06–09:16 y 12:06–12:11</w:t>
            </w:r>
          </w:p>
        </w:tc>
        <w:tc>
          <w:tcPr>
            <w:tcW w:type="dxa" w:w="150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104–147 A</w:t>
            </w:r>
          </w:p>
        </w:tc>
        <w:tc>
          <w:tcPr>
            <w:tcW w:type="dxa" w:w="286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Supera los 100 A del interruptor instalado</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Carga parcial</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09:31–10:36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70–80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Motores con parte de las resistencias</w:t>
            </w:r>
          </w:p>
        </w:tc>
      </w:tr>
      <w:t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Solo motores</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13:11–13:16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37 A</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Agitación sin calentamiento</w:t>
            </w:r>
          </w:p>
        </w:tc>
      </w:tr>
    </w:tbl>
    <w:p>
      <w:pPr>
        <w:spacing w:after="60"/>
      </w:pPr>
    </w:p>
    <w:p>
      <w:pPr>
        <w:pStyle w:val="Heading2"/>
        <w:spacing w:after="100" w:before="200"/>
      </w:pPr>
      <w:r>
        <w:rPr>
          <w:rFonts w:ascii="Arial" w:cs="Arial" w:eastAsia="Arial" w:hAnsi="Arial"/>
          <w:b/>
          <w:bCs/>
          <w:color w:val="1F3A5F"/>
          <w:sz w:val="24"/>
          <w:szCs w:val="24"/>
        </w:rPr>
        <w:t xml:space="preserve">4.4 Valores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Parámetro</w:t>
            </w:r>
          </w:p>
        </w:tc>
        <w:tc>
          <w:tcPr>
            <w:tcW w:type="dxa" w:w="234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Valor medido</w:t>
            </w:r>
          </w:p>
        </w:tc>
        <w:tc>
          <w:tcPr>
            <w:tcW w:type="dxa" w:w="234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Evaluación</w:t>
            </w:r>
          </w:p>
        </w:tc>
      </w:tr>
      <w:tr>
        <w:tc>
          <w:tcPr>
            <w:tcW w:type="dxa" w:w="468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bCs/>
                <w:sz w:val="20"/>
                <w:szCs w:val="20"/>
              </w:rPr>
              <w:t xml:space="preserve">Corriente máxima</w:t>
            </w:r>
          </w:p>
        </w:tc>
        <w:tc>
          <w:tcPr>
            <w:tcW w:type="dxa" w:w="234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146.9 A (09:11)</w:t>
            </w:r>
          </w:p>
        </w:tc>
        <w:tc>
          <w:tcPr>
            <w:tcW w:type="dxa" w:w="2340"/>
            <w:tcBorders>
              <w:top w:val="single" w:color="BFBFBF" w:sz="4"/>
              <w:left w:val="single" w:color="BFBFBF" w:sz="4"/>
              <w:bottom w:val="single" w:color="BFBFBF" w:sz="4"/>
              <w:right w:val="single" w:color="BFBFBF" w:sz="4"/>
            </w:tcBorders>
            <w:shd w:fill="FCE4D6" w:color="auto" w:val="clear"/>
            <w:tcMar>
              <w:top w:type="dxa" w:w="60"/>
              <w:left w:type="dxa" w:w="100"/>
              <w:bottom w:type="dxa" w:w="60"/>
              <w:right w:type="dxa" w:w="100"/>
            </w:tcMar>
          </w:tcPr>
          <w:p>
            <w:r>
              <w:rPr>
                <w:rFonts w:ascii="Arial" w:cs="Arial" w:eastAsia="Arial" w:hAnsi="Arial"/>
                <w:b w:val="false"/>
                <w:bCs w:val="false"/>
                <w:sz w:val="20"/>
                <w:szCs w:val="20"/>
              </w:rPr>
              <w:t xml:space="preserve">147 % del ITM de 100 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Corriente sostenida (solo resistencias)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80 A</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Dentro de capacidad</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Tensión entre fases</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215–225 V</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Correcta (±2.5 %)</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Frecuencia</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59.94–60.07 Hz</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Correcta</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Distorsión armónica de tensión (THDv)</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4.2 % máx.</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Correcta (&lt; 8 %)</w:t>
            </w:r>
          </w:p>
        </w:tc>
      </w:tr>
      <w:tr>
        <w:tc>
          <w:tcPr>
            <w:tcW w:type="dxa" w:w="46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Distorsión armónica de corriente (THDi)</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1 % a 100 %</w:t>
            </w:r>
          </w:p>
        </w:tc>
        <w:tc>
          <w:tcPr>
            <w:tcW w:type="dxa" w:w="23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Alta con variadores en operación</w:t>
            </w:r>
          </w:p>
        </w:tc>
      </w:tr>
    </w:tbl>
    <w:p>
      <w:pPr>
        <w:pStyle w:val="Heading1"/>
        <w:spacing w:after="140" w:before="300"/>
      </w:pPr>
      <w:r>
        <w:rPr>
          <w:rFonts w:ascii="Arial" w:cs="Arial" w:eastAsia="Arial" w:hAnsi="Arial"/>
          <w:b/>
          <w:bCs/>
          <w:color w:val="1F3A5F"/>
          <w:sz w:val="28"/>
          <w:szCs w:val="28"/>
        </w:rPr>
        <w:t xml:space="preserve">5. Conclusión</w:t>
      </w:r>
    </w:p>
    <w:p>
      <w:pPr>
        <w:spacing w:after="120"/>
      </w:pPr>
      <w:r>
        <w:rPr>
          <w:rFonts w:ascii="Arial" w:cs="Arial" w:eastAsia="Arial" w:hAnsi="Arial"/>
          <w:sz w:val="22"/>
          <w:szCs w:val="22"/>
        </w:rPr>
        <w:t xml:space="preserve">La causa de la operación del interruptor es que el circuito se diseñó con la corriente informada inicialmente (82 A), que corresponde solo a las resistencias. Cuando los motores trabajan junto con las resistencias, el equipo alcanza su corriente de placa real (140 A, se midieron 146.9 A), que supera la capacidad del interruptor de 2×100 A y del conductor cal. 2 AWG. La calidad de la energía de la red es correcta y no es causa del problema. El equipo no presenta falla: consume lo que indica su manual final.</w:t>
      </w:r>
    </w:p>
    <w:p>
      <w:pPr>
        <w:pStyle w:val="Heading1"/>
        <w:spacing w:after="140" w:before="300"/>
      </w:pPr>
      <w:r>
        <w:rPr>
          <w:rFonts w:ascii="Arial" w:cs="Arial" w:eastAsia="Arial" w:hAnsi="Arial"/>
          <w:b/>
          <w:bCs/>
          <w:color w:val="1F3A5F"/>
          <w:sz w:val="28"/>
          <w:szCs w:val="28"/>
        </w:rPr>
        <w:t xml:space="preserve">6. Solución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Elemento</w:t>
            </w:r>
          </w:p>
        </w:tc>
        <w:tc>
          <w:tcPr>
            <w:tcW w:type="dxa" w:w="31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Instalado</w:t>
            </w:r>
          </w:p>
        </w:tc>
        <w:tc>
          <w:tcPr>
            <w:tcW w:type="dxa" w:w="312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rFonts w:ascii="Arial" w:cs="Arial" w:eastAsia="Arial" w:hAnsi="Arial"/>
                <w:b/>
                <w:bCs/>
                <w:color w:val="FFFFFF"/>
                <w:sz w:val="20"/>
                <w:szCs w:val="20"/>
              </w:rPr>
              <w:t xml:space="preserve">Propuesto</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Interruptor del circuito</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2×100 A</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2×150 A</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Conductores de fase</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 × cal. 2 AWG (115 A)</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2 × cal. 1/0 AWG Cu (150 A a 75 °C)</w:t>
            </w:r>
          </w:p>
        </w:tc>
      </w:tr>
      <w:tr>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Conductor de puesta a tierra</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cal. 8 AWG</w:t>
            </w:r>
          </w:p>
        </w:tc>
        <w:tc>
          <w:tcPr>
            <w:tcW w:type="dxa" w:w="31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b w:val="false"/>
                <w:bCs w:val="false"/>
                <w:sz w:val="20"/>
                <w:szCs w:val="20"/>
              </w:rPr>
              <w:t xml:space="preserve">cal. 6 AWG (Tabla 250-122, NOM-001-SEDE-2012)</w:t>
            </w:r>
          </w:p>
        </w:tc>
      </w:tr>
    </w:tbl>
    <w:p>
      <w:pPr>
        <w:spacing w:after="60"/>
      </w:pPr>
    </w:p>
    <w:p>
      <w:pPr>
        <w:pStyle w:val="ListParagraph"/>
        <w:numPr>
          <w:ilvl w:val="0"/>
          <w:numId w:val="2"/>
        </w:numPr>
        <w:spacing w:after="80"/>
      </w:pPr>
      <w:r>
        <w:rPr>
          <w:rFonts w:ascii="Arial" w:cs="Arial" w:eastAsia="Arial" w:hAnsi="Arial"/>
          <w:sz w:val="22"/>
          <w:szCs w:val="22"/>
        </w:rPr>
        <w:t xml:space="preserve">Con 2×150 A la corriente máxima medida (146.9 A) queda en el 98 % de la protección y la corriente sostenida (80 A) en el 53 %, por lo que el interruptor no debe operar con el perfil de trabajo registrado.</w:t>
      </w:r>
    </w:p>
    <w:p>
      <w:pPr>
        <w:pStyle w:val="ListParagraph"/>
        <w:numPr>
          <w:ilvl w:val="0"/>
          <w:numId w:val="2"/>
        </w:numPr>
        <w:spacing w:after="80"/>
      </w:pPr>
      <w:r>
        <w:rPr>
          <w:rFonts w:ascii="Arial" w:cs="Arial" w:eastAsia="Arial" w:hAnsi="Arial"/>
          <w:sz w:val="22"/>
          <w:szCs w:val="22"/>
        </w:rPr>
        <w:t xml:space="preserve">Con la corriente de placa de 140 A, el criterio de carga continua (×1.25) daría 175 A; la selección de 150 A se sustenta en el perfil medido: la carga sostenida es de 80 A y los picos de 147 A duran solo minutos.</w:t>
      </w:r>
    </w:p>
    <w:p>
      <w:pPr>
        <w:pStyle w:val="ListParagraph"/>
        <w:numPr>
          <w:ilvl w:val="0"/>
          <w:numId w:val="2"/>
        </w:numPr>
        <w:spacing w:after="80"/>
      </w:pPr>
      <w:r>
        <w:rPr>
          <w:rFonts w:ascii="Arial" w:cs="Arial" w:eastAsia="Arial" w:hAnsi="Arial"/>
          <w:sz w:val="22"/>
          <w:szCs w:val="22"/>
        </w:rPr>
        <w:t xml:space="preserve">Verificar que el tablero admita un interruptor enchufable de 150 A (capacidad de barras y del alimentador general) y que la caída de tensión con la longitud real no exceda el 3 % (con cal. 1/0 se cumple hasta unos 60 m).</w:t>
      </w:r>
    </w:p>
    <w:p>
      <w:pPr>
        <w:pStyle w:val="Heading1"/>
        <w:spacing w:after="140" w:before="300"/>
      </w:pPr>
      <w:r>
        <w:rPr>
          <w:rFonts w:ascii="Arial" w:cs="Arial" w:eastAsia="Arial" w:hAnsi="Arial"/>
          <w:b/>
          <w:bCs/>
          <w:color w:val="1F3A5F"/>
          <w:sz w:val="28"/>
          <w:szCs w:val="28"/>
        </w:rPr>
        <w:t xml:space="preserve">7. Factor de riesgo: interruptor interno del gabinete (2×125 A)</w:t>
      </w:r>
    </w:p>
    <w:p>
      <w:pPr>
        <w:spacing w:after="120"/>
      </w:pPr>
      <w:r>
        <w:rPr>
          <w:rFonts w:ascii="Arial" w:cs="Arial" w:eastAsia="Arial" w:hAnsi="Arial"/>
          <w:sz w:val="22"/>
          <w:szCs w:val="22"/>
        </w:rPr>
        <w:t xml:space="preserve">Al aumentar la protección del tablero a 2×150 A, el interruptor interno del gabinete de la marmita (2×125 A) pasa a ser la protección de menor capacidad y, por lo tanto, la primera en operar ante una sobrecarga. Esta es la secuencia correcta (opera la protección más cercana al equipo), pero puede provocar paros del proceso:</w:t>
      </w:r>
    </w:p>
    <w:p>
      <w:pPr>
        <w:pStyle w:val="ListParagraph"/>
        <w:numPr>
          <w:ilvl w:val="0"/>
          <w:numId w:val="2"/>
        </w:numPr>
        <w:spacing w:after="80"/>
      </w:pPr>
      <w:r>
        <w:rPr>
          <w:rFonts w:ascii="Arial" w:cs="Arial" w:eastAsia="Arial" w:hAnsi="Arial"/>
          <w:sz w:val="22"/>
          <w:szCs w:val="22"/>
        </w:rPr>
        <w:t xml:space="preserve">La corriente máxima medida (146.9 A) equivale al 118 % de 125 A. Con picos de minutos normalmente no opera, pero el margen depende de la temperatura del gabinete y de la duración del pico.</w:t>
      </w:r>
    </w:p>
    <w:p>
      <w:pPr>
        <w:pStyle w:val="ListParagraph"/>
        <w:numPr>
          <w:ilvl w:val="0"/>
          <w:numId w:val="2"/>
        </w:numPr>
        <w:spacing w:after="80"/>
      </w:pPr>
      <w:r>
        <w:rPr>
          <w:rFonts w:ascii="Arial" w:cs="Arial" w:eastAsia="Arial" w:hAnsi="Arial"/>
          <w:sz w:val="22"/>
          <w:szCs w:val="22"/>
        </w:rPr>
        <w:t xml:space="preserve">Mantenimiento ha reportado lecturas de 128 A en la fase 1, el 102 % de 125 A. Una corriente sostenida en ese valor puede hacer operar el interruptor interno.</w:t>
      </w:r>
    </w:p>
    <w:p>
      <w:pPr>
        <w:pStyle w:val="ListParagraph"/>
        <w:numPr>
          <w:ilvl w:val="0"/>
          <w:numId w:val="2"/>
        </w:numPr>
        <w:spacing w:after="80"/>
      </w:pPr>
      <w:r>
        <w:rPr>
          <w:rFonts w:ascii="Arial" w:cs="Arial" w:eastAsia="Arial" w:hAnsi="Arial"/>
          <w:sz w:val="22"/>
          <w:szCs w:val="22"/>
        </w:rPr>
        <w:t xml:space="preserve">El interruptor interno (125 A) es menor que la corriente de placa del propio equipo (140 A). Si opera con frecuencia, se debe solicitar al fabricante la revisión de su selección.</w:t>
      </w:r>
    </w:p>
    <w:p>
      <w:pPr>
        <w:spacing w:after="120"/>
      </w:pPr>
      <w:r>
        <w:rPr>
          <w:rFonts w:ascii="Arial" w:cs="Arial" w:eastAsia="Arial" w:hAnsi="Arial"/>
          <w:b/>
          <w:bCs/>
          <w:sz w:val="22"/>
          <w:szCs w:val="22"/>
        </w:rPr>
        <w:t xml:space="preserve">Recomendaciones: </w:t>
      </w:r>
      <w:r>
        <w:rPr>
          <w:rFonts w:ascii="Arial" w:cs="Arial" w:eastAsia="Arial" w:hAnsi="Arial"/>
          <w:sz w:val="22"/>
          <w:szCs w:val="22"/>
        </w:rPr>
        <w:t xml:space="preserve">escalonar la operación (no arrancar los motores con todas las resistencias encendidas) y medir simultáneamente las corrientes de fase 1, fase 2 y del conductor de puesta a tierra para confirmar el origen de la diferencia de 128 A / 72 A entre fases, ya que en una carga entre dos fases sin neutro ambas corrientes deben ser iguales.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808080"/>
        <w:sz w:val="16"/>
        <w:szCs w:val="16"/>
      </w:rPr>
      <w:t xml:space="preserve">Marmita 300 L · Informe técnico · Página </w:t>
    </w: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283b63d3008f2db003b40457ef337c0c5476cb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2026-10-19T20:20:00.166Z</dcterms:created>
  <dcterms:modified xsi:type="dcterms:W3CDTF">2026-10-19T20:20:00.167Z</dcterms:modified>
</cp:coreProperties>
</file>

<file path=docProps/custom.xml><?xml version="1.0" encoding="utf-8"?>
<Properties xmlns="http://schemas.openxmlformats.org/officeDocument/2006/custom-properties" xmlns:vt="http://schemas.openxmlformats.org/officeDocument/2006/docPropsVTypes"/>
</file>