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CC" w:rsidRPr="00A06FA4" w:rsidRDefault="009839FB" w:rsidP="00A76D89">
      <w:r w:rsidRPr="00A06FA4">
        <w:t xml:space="preserve">Santiago de Cali, </w:t>
      </w:r>
      <w:r w:rsidR="004A72E5">
        <w:t>0</w:t>
      </w:r>
      <w:r w:rsidR="006E0FCE">
        <w:t>1</w:t>
      </w:r>
      <w:r w:rsidRPr="00A06FA4">
        <w:t xml:space="preserve"> de </w:t>
      </w:r>
      <w:r w:rsidR="00941CBE">
        <w:t>Enero</w:t>
      </w:r>
      <w:r w:rsidRPr="00A06FA4">
        <w:t xml:space="preserve"> de 20</w:t>
      </w:r>
      <w:r w:rsidR="00B57CFC">
        <w:t>1</w:t>
      </w:r>
      <w:r w:rsidR="006E0FCE">
        <w:t>5</w:t>
      </w:r>
      <w:r w:rsidR="00CE54CC" w:rsidRPr="00A06FA4">
        <w:tab/>
      </w:r>
      <w:r w:rsidR="00CE54CC" w:rsidRPr="00A06FA4">
        <w:tab/>
        <w:t xml:space="preserve">No. </w:t>
      </w:r>
      <w:r w:rsidRPr="00A06FA4">
        <w:t>EPS-DC-</w:t>
      </w:r>
      <w:r w:rsidR="000D36F8" w:rsidRPr="00A06FA4">
        <w:t>19</w:t>
      </w:r>
      <w:r w:rsidR="0009421E">
        <w:t>5</w:t>
      </w:r>
    </w:p>
    <w:p w:rsidR="00CE54CC" w:rsidRPr="009839FB" w:rsidRDefault="00CE54CC">
      <w:pPr>
        <w:jc w:val="both"/>
        <w:rPr>
          <w:rFonts w:ascii="Arial" w:hAnsi="Arial" w:cs="Arial"/>
          <w:sz w:val="22"/>
          <w:szCs w:val="22"/>
        </w:rPr>
      </w:pPr>
    </w:p>
    <w:p w:rsidR="00135E84" w:rsidRDefault="00135E84" w:rsidP="009839FB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:rsidR="009839FB" w:rsidRPr="00A06FA4" w:rsidRDefault="009839FB" w:rsidP="009839FB">
      <w:pPr>
        <w:pStyle w:val="NormalWeb"/>
        <w:rPr>
          <w:rFonts w:ascii="Arial" w:hAnsi="Arial" w:cs="Arial"/>
          <w:sz w:val="20"/>
          <w:szCs w:val="20"/>
        </w:rPr>
      </w:pPr>
      <w:r w:rsidRPr="00A06FA4">
        <w:rPr>
          <w:rFonts w:ascii="Arial" w:hAnsi="Arial" w:cs="Arial"/>
          <w:b/>
          <w:bCs/>
          <w:sz w:val="20"/>
          <w:szCs w:val="20"/>
        </w:rPr>
        <w:t xml:space="preserve">ASUNTO: </w:t>
      </w:r>
      <w:r w:rsidR="000D36F8" w:rsidRPr="00A06FA4">
        <w:rPr>
          <w:rFonts w:ascii="Arial" w:hAnsi="Arial" w:cs="Arial"/>
          <w:b/>
          <w:bCs/>
          <w:sz w:val="20"/>
          <w:szCs w:val="20"/>
        </w:rPr>
        <w:t>VALOR UPC REGIMEN CONTRIBUTIVO</w:t>
      </w:r>
      <w:r w:rsidR="0009421E">
        <w:rPr>
          <w:rFonts w:ascii="Arial" w:hAnsi="Arial" w:cs="Arial"/>
          <w:b/>
          <w:bCs/>
          <w:sz w:val="20"/>
          <w:szCs w:val="20"/>
        </w:rPr>
        <w:t xml:space="preserve"> – BENEFICIARIOS ADICIONALES</w:t>
      </w:r>
      <w:r w:rsidR="000D36F8" w:rsidRPr="00A06FA4">
        <w:rPr>
          <w:rFonts w:ascii="Arial" w:hAnsi="Arial" w:cs="Arial"/>
          <w:b/>
          <w:bCs/>
          <w:sz w:val="20"/>
          <w:szCs w:val="20"/>
        </w:rPr>
        <w:t xml:space="preserve"> AÑO 20</w:t>
      </w:r>
      <w:r w:rsidR="00B57CFC">
        <w:rPr>
          <w:rFonts w:ascii="Arial" w:hAnsi="Arial" w:cs="Arial"/>
          <w:b/>
          <w:bCs/>
          <w:sz w:val="20"/>
          <w:szCs w:val="20"/>
        </w:rPr>
        <w:t>1</w:t>
      </w:r>
      <w:r w:rsidR="004B5C17">
        <w:rPr>
          <w:rFonts w:ascii="Arial" w:hAnsi="Arial" w:cs="Arial"/>
          <w:b/>
          <w:bCs/>
          <w:sz w:val="20"/>
          <w:szCs w:val="20"/>
        </w:rPr>
        <w:t>5</w:t>
      </w:r>
    </w:p>
    <w:p w:rsidR="00135E84" w:rsidRPr="00A06FA4" w:rsidRDefault="00135E84" w:rsidP="009839FB">
      <w:pPr>
        <w:pStyle w:val="Textoindependiente3"/>
        <w:rPr>
          <w:rFonts w:cs="Arial"/>
          <w:b w:val="0"/>
          <w:sz w:val="20"/>
        </w:rPr>
      </w:pPr>
    </w:p>
    <w:p w:rsidR="00F13669" w:rsidRDefault="00F13669" w:rsidP="003464F9">
      <w:pPr>
        <w:spacing w:before="100" w:beforeAutospacing="1" w:after="100" w:afterAutospacing="1"/>
        <w:jc w:val="both"/>
        <w:rPr>
          <w:rFonts w:ascii="Arial" w:hAnsi="Arial" w:cs="Arial"/>
          <w:lang w:val="es-MX"/>
        </w:rPr>
      </w:pPr>
      <w:bookmarkStart w:id="0" w:name="_GoBack"/>
      <w:bookmarkEnd w:id="0"/>
      <w:r w:rsidRPr="00361A9A">
        <w:rPr>
          <w:rFonts w:ascii="Arial" w:hAnsi="Arial" w:cs="Arial"/>
          <w:b/>
          <w:lang w:val="es-MX"/>
        </w:rPr>
        <w:t>3.1</w:t>
      </w:r>
      <w:r w:rsidRPr="00786206">
        <w:rPr>
          <w:rFonts w:ascii="Arial" w:hAnsi="Arial" w:cs="Arial"/>
          <w:lang w:val="es-MX"/>
        </w:rPr>
        <w:t xml:space="preserve"> </w:t>
      </w:r>
      <w:r w:rsidR="00ED01C1">
        <w:rPr>
          <w:rFonts w:ascii="Arial" w:hAnsi="Arial" w:cs="Arial"/>
          <w:lang w:val="es-MX"/>
        </w:rPr>
        <w:t>Unidad de Pago por Capitación diferencial por zonas geográficas:</w:t>
      </w:r>
      <w:r w:rsidRPr="00786206">
        <w:rPr>
          <w:rFonts w:ascii="Arial" w:hAnsi="Arial" w:cs="Arial"/>
          <w:lang w:val="es-MX"/>
        </w:rPr>
        <w:t xml:space="preserve"> </w:t>
      </w:r>
    </w:p>
    <w:tbl>
      <w:tblPr>
        <w:tblW w:w="10257" w:type="dxa"/>
        <w:jc w:val="center"/>
        <w:tblCellMar>
          <w:left w:w="70" w:type="dxa"/>
          <w:right w:w="70" w:type="dxa"/>
        </w:tblCellMar>
        <w:tblLook w:val="04A0"/>
      </w:tblPr>
      <w:tblGrid>
        <w:gridCol w:w="10257"/>
      </w:tblGrid>
      <w:tr w:rsidR="00062602" w:rsidRPr="00062602" w:rsidTr="005C6E47">
        <w:trPr>
          <w:trHeight w:val="255"/>
          <w:jc w:val="center"/>
        </w:trPr>
        <w:tc>
          <w:tcPr>
            <w:tcW w:w="10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62E8" w:rsidRDefault="007462E8" w:rsidP="007462E8">
            <w:pPr>
              <w:pStyle w:val="Default"/>
            </w:pPr>
          </w:p>
          <w:tbl>
            <w:tblPr>
              <w:tblStyle w:val="Tablaconcuadrcula"/>
              <w:tblW w:w="0" w:type="auto"/>
              <w:tblLook w:val="0000"/>
            </w:tblPr>
            <w:tblGrid>
              <w:gridCol w:w="2052"/>
              <w:gridCol w:w="1984"/>
              <w:gridCol w:w="1985"/>
              <w:gridCol w:w="2268"/>
              <w:gridCol w:w="1818"/>
            </w:tblGrid>
            <w:tr w:rsidR="005C6E47" w:rsidTr="00DF428E">
              <w:trPr>
                <w:trHeight w:val="367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GRUPO DE EDAD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5A72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UPC ADICIONAL</w:t>
                  </w:r>
                  <w:r w:rsidR="005C5A7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ZONA NORMAL</w:t>
                  </w:r>
                  <w:r w:rsidR="00DF428E">
                    <w:rPr>
                      <w:b/>
                      <w:bCs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5A72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UPC ADICIONAL</w:t>
                  </w:r>
                  <w:r w:rsidR="005C5A7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ZONA ESPECIAL</w:t>
                  </w:r>
                  <w:r w:rsidR="00DF428E">
                    <w:rPr>
                      <w:b/>
                      <w:bCs/>
                      <w:sz w:val="20"/>
                      <w:szCs w:val="20"/>
                    </w:rPr>
                    <w:t>**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DF428E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UPC ADICIONAL</w:t>
                  </w:r>
                  <w:r w:rsidR="005C6E47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F428E">
                    <w:rPr>
                      <w:b/>
                      <w:bCs/>
                      <w:sz w:val="20"/>
                      <w:szCs w:val="20"/>
                    </w:rPr>
                    <w:t>ZONA DIFERENCIAL ***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DF428E" w:rsidP="00DF428E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UPC ADICIONAL ZONA ALEJADA ****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Menores de 1 año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173.400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190.500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190.300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238.300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1 a 4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57.000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62.500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62.400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77.900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5 a 14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21.200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23.100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23.100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28.500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15 a 18 años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56.900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62.400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62.400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77.800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15 a 18 años (M)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60.500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66.300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66.200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82.600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19 a 44 años (H)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99.800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109.600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109.400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136.900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19 a 44 años (M)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124.200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136.400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136.200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170.500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45 a 49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112.700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123.700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123.600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154.600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50 a 54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143.200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157.300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157.100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196.700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55 a 59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174.600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191.800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191.600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240.000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60 a 64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122.000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134.000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133.900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167.500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65 a 69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151.300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166.300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166.000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207.900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70 a 74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181.200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199.100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198.900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249.100</w:t>
                  </w:r>
                </w:p>
              </w:tc>
            </w:tr>
            <w:tr w:rsidR="005C6E47" w:rsidTr="005C6E47">
              <w:trPr>
                <w:trHeight w:val="100"/>
              </w:trPr>
              <w:tc>
                <w:tcPr>
                  <w:tcW w:w="2052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 75 y más años</w:t>
                  </w:r>
                </w:p>
              </w:tc>
              <w:tc>
                <w:tcPr>
                  <w:tcW w:w="1984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227.200</w:t>
                  </w:r>
                </w:p>
              </w:tc>
              <w:tc>
                <w:tcPr>
                  <w:tcW w:w="1985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249.700</w:t>
                  </w:r>
                </w:p>
              </w:tc>
              <w:tc>
                <w:tcPr>
                  <w:tcW w:w="226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249.400</w:t>
                  </w:r>
                </w:p>
              </w:tc>
              <w:tc>
                <w:tcPr>
                  <w:tcW w:w="1818" w:type="dxa"/>
                  <w:vAlign w:val="center"/>
                </w:tcPr>
                <w:p w:rsidR="007462E8" w:rsidRDefault="007462E8" w:rsidP="005C6E47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312.500</w:t>
                  </w:r>
                </w:p>
              </w:tc>
            </w:tr>
          </w:tbl>
          <w:p w:rsidR="00062602" w:rsidRPr="00062602" w:rsidRDefault="00062602" w:rsidP="00062602">
            <w:pPr>
              <w:rPr>
                <w:rFonts w:ascii="Arial Narrow" w:hAnsi="Arial Narrow" w:cs="Arial"/>
                <w:sz w:val="16"/>
                <w:szCs w:val="16"/>
                <w:lang w:val="es-CO" w:eastAsia="es-CO"/>
              </w:rPr>
            </w:pPr>
          </w:p>
        </w:tc>
      </w:tr>
    </w:tbl>
    <w:p w:rsidR="008C776E" w:rsidRDefault="005C6E47" w:rsidP="005C6E47">
      <w:pPr>
        <w:spacing w:after="100" w:afterAutospacing="1"/>
        <w:rPr>
          <w:rFonts w:ascii="Arial Narrow" w:hAnsi="Arial Narrow" w:cs="Arial"/>
          <w:bCs/>
          <w:sz w:val="16"/>
          <w:szCs w:val="16"/>
          <w:lang w:val="es-MX"/>
        </w:rPr>
      </w:pPr>
      <w:r w:rsidRPr="005C6E47">
        <w:rPr>
          <w:rFonts w:ascii="Arial Narrow" w:hAnsi="Arial Narrow" w:cs="Arial"/>
          <w:bCs/>
          <w:sz w:val="16"/>
          <w:szCs w:val="16"/>
          <w:lang w:val="es-MX"/>
        </w:rPr>
        <w:t>Valores aproximados a la centena más cercana. Artículo 10 Decreto 1406</w:t>
      </w:r>
      <w:r>
        <w:rPr>
          <w:rFonts w:ascii="Arial Narrow" w:hAnsi="Arial Narrow" w:cs="Arial"/>
          <w:bCs/>
          <w:sz w:val="16"/>
          <w:szCs w:val="16"/>
          <w:lang w:val="es-MX"/>
        </w:rPr>
        <w:t>.</w:t>
      </w:r>
    </w:p>
    <w:p w:rsidR="003E4DD7" w:rsidRDefault="003E4DD7" w:rsidP="00D60A8D">
      <w:pPr>
        <w:spacing w:before="100" w:beforeAutospacing="1" w:after="100" w:afterAutospacing="1"/>
        <w:ind w:left="284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* Zona Normal: todos lo</w:t>
      </w:r>
      <w:r w:rsidR="00062602">
        <w:rPr>
          <w:rFonts w:ascii="Arial" w:hAnsi="Arial" w:cs="Arial"/>
          <w:bCs/>
          <w:lang w:val="es-MX"/>
        </w:rPr>
        <w:t>s</w:t>
      </w:r>
      <w:r>
        <w:rPr>
          <w:rFonts w:ascii="Arial" w:hAnsi="Arial" w:cs="Arial"/>
          <w:bCs/>
          <w:lang w:val="es-MX"/>
        </w:rPr>
        <w:t xml:space="preserve"> municipios del país a excepción de los registrados como Z</w:t>
      </w:r>
      <w:r w:rsidR="005C5A72">
        <w:rPr>
          <w:rFonts w:ascii="Arial" w:hAnsi="Arial" w:cs="Arial"/>
          <w:bCs/>
          <w:lang w:val="es-MX"/>
        </w:rPr>
        <w:t>ONA ESPECIAL o ZONA DIFERENCIAL o ZONA ALEJADA.</w:t>
      </w:r>
    </w:p>
    <w:p w:rsidR="003E4DD7" w:rsidRDefault="003E4DD7" w:rsidP="00D60A8D">
      <w:pPr>
        <w:spacing w:before="100" w:beforeAutospacing="1" w:after="100" w:afterAutospacing="1"/>
        <w:ind w:left="284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** Zona Especial: comprenden los </w:t>
      </w:r>
      <w:r w:rsidR="004A72E5">
        <w:rPr>
          <w:rFonts w:ascii="Arial" w:hAnsi="Arial" w:cs="Arial"/>
          <w:bCs/>
          <w:lang w:val="es-MX"/>
        </w:rPr>
        <w:t>363 municipios que vienen en la resolución</w:t>
      </w:r>
      <w:r>
        <w:rPr>
          <w:rFonts w:ascii="Arial" w:hAnsi="Arial" w:cs="Arial"/>
          <w:bCs/>
          <w:lang w:val="es-MX"/>
        </w:rPr>
        <w:t>.</w:t>
      </w:r>
      <w:r w:rsidR="00062602" w:rsidRPr="00062602">
        <w:rPr>
          <w:rFonts w:ascii="Arial" w:hAnsi="Arial" w:cs="Arial"/>
        </w:rPr>
        <w:t xml:space="preserve"> </w:t>
      </w:r>
      <w:r w:rsidR="00062602" w:rsidRPr="00A15374">
        <w:rPr>
          <w:rFonts w:ascii="Arial" w:hAnsi="Arial" w:cs="Arial"/>
        </w:rPr>
        <w:t>Se exceptúan de est</w:t>
      </w:r>
      <w:r w:rsidR="00062602">
        <w:rPr>
          <w:rFonts w:ascii="Arial" w:hAnsi="Arial" w:cs="Arial"/>
        </w:rPr>
        <w:t xml:space="preserve">e incremento </w:t>
      </w:r>
      <w:r w:rsidR="00062602" w:rsidRPr="00A15374">
        <w:rPr>
          <w:rFonts w:ascii="Arial" w:hAnsi="Arial" w:cs="Arial"/>
        </w:rPr>
        <w:t>las ciudades de Arauca, Florencia</w:t>
      </w:r>
      <w:r w:rsidR="004A72E5">
        <w:rPr>
          <w:rFonts w:ascii="Arial" w:hAnsi="Arial" w:cs="Arial"/>
        </w:rPr>
        <w:t xml:space="preserve"> y </w:t>
      </w:r>
      <w:r w:rsidR="00062602" w:rsidRPr="00A15374">
        <w:rPr>
          <w:rFonts w:ascii="Arial" w:hAnsi="Arial" w:cs="Arial"/>
        </w:rPr>
        <w:t xml:space="preserve"> Yopal </w:t>
      </w:r>
      <w:r w:rsidR="00062602">
        <w:rPr>
          <w:rFonts w:ascii="Arial" w:hAnsi="Arial" w:cs="Arial"/>
        </w:rPr>
        <w:t>con</w:t>
      </w:r>
      <w:r w:rsidR="00062602" w:rsidRPr="00A15374">
        <w:rPr>
          <w:rFonts w:ascii="Arial" w:hAnsi="Arial" w:cs="Arial"/>
        </w:rPr>
        <w:t xml:space="preserve"> sus respectivas áreas de influencia</w:t>
      </w:r>
      <w:r w:rsidR="00062602">
        <w:rPr>
          <w:rFonts w:ascii="Arial" w:hAnsi="Arial" w:cs="Arial"/>
        </w:rPr>
        <w:t>.</w:t>
      </w:r>
    </w:p>
    <w:p w:rsidR="00D60A8D" w:rsidRDefault="003E4DD7" w:rsidP="00D60A8D">
      <w:pPr>
        <w:spacing w:before="100" w:beforeAutospacing="1" w:after="100" w:afterAutospacing="1"/>
        <w:ind w:left="284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*** Zona Diferencial: comprende las ciudades de</w:t>
      </w:r>
      <w:r w:rsidR="00062602">
        <w:rPr>
          <w:rFonts w:ascii="Arial" w:hAnsi="Arial" w:cs="Arial"/>
          <w:bCs/>
          <w:lang w:val="es-MX"/>
        </w:rPr>
        <w:t xml:space="preserve"> Armenia, Barrancabermeja, Barranquilla, Bello, Bogotá D</w:t>
      </w:r>
      <w:r w:rsidR="00624FC0">
        <w:rPr>
          <w:rFonts w:ascii="Arial" w:hAnsi="Arial" w:cs="Arial"/>
          <w:bCs/>
          <w:lang w:val="es-MX"/>
        </w:rPr>
        <w:t>.</w:t>
      </w:r>
      <w:r w:rsidR="00062602">
        <w:rPr>
          <w:rFonts w:ascii="Arial" w:hAnsi="Arial" w:cs="Arial"/>
          <w:bCs/>
          <w:lang w:val="es-MX"/>
        </w:rPr>
        <w:t>C</w:t>
      </w:r>
      <w:r w:rsidR="00C311D1">
        <w:rPr>
          <w:rFonts w:ascii="Arial" w:hAnsi="Arial" w:cs="Arial"/>
          <w:bCs/>
          <w:lang w:val="es-MX"/>
        </w:rPr>
        <w:t>.</w:t>
      </w:r>
      <w:r w:rsidR="00062602">
        <w:rPr>
          <w:rFonts w:ascii="Arial" w:hAnsi="Arial" w:cs="Arial"/>
          <w:bCs/>
          <w:lang w:val="es-MX"/>
        </w:rPr>
        <w:t>, Bucaramanga, Buenaventura, Cali, Cartagena, Cúcuta, Floridablanca, Ibagué, Itagüí, Manizales, Medellín, Montería, Neiva, Pal</w:t>
      </w:r>
      <w:r w:rsidR="005C5A72">
        <w:rPr>
          <w:rFonts w:ascii="Arial" w:hAnsi="Arial" w:cs="Arial"/>
          <w:bCs/>
          <w:lang w:val="es-MX"/>
        </w:rPr>
        <w:t>mira, Pasto, Pereira, Popayán</w:t>
      </w:r>
      <w:r w:rsidR="000E6FF9">
        <w:rPr>
          <w:rFonts w:ascii="Arial" w:hAnsi="Arial" w:cs="Arial"/>
          <w:bCs/>
          <w:lang w:val="es-MX"/>
        </w:rPr>
        <w:t>, Riohacha</w:t>
      </w:r>
      <w:r w:rsidR="00062602">
        <w:rPr>
          <w:rFonts w:ascii="Arial" w:hAnsi="Arial" w:cs="Arial"/>
          <w:bCs/>
          <w:lang w:val="es-MX"/>
        </w:rPr>
        <w:t>, Santa Marta, Sincelejo, Soacha, Soledad, Tuluá, Valledupar y Villavicencio</w:t>
      </w:r>
      <w:r>
        <w:rPr>
          <w:rFonts w:ascii="Arial" w:hAnsi="Arial" w:cs="Arial"/>
          <w:bCs/>
          <w:lang w:val="es-MX"/>
        </w:rPr>
        <w:t>.</w:t>
      </w:r>
    </w:p>
    <w:p w:rsidR="009D1D09" w:rsidRPr="009839FB" w:rsidRDefault="00B332BB" w:rsidP="00A76D89">
      <w:pPr>
        <w:spacing w:before="100" w:beforeAutospacing="1" w:after="100" w:afterAutospacing="1"/>
        <w:ind w:left="284"/>
        <w:rPr>
          <w:rFonts w:cs="Arial"/>
          <w:b/>
          <w:szCs w:val="22"/>
        </w:rPr>
      </w:pPr>
      <w:r>
        <w:rPr>
          <w:rFonts w:ascii="Arial" w:hAnsi="Arial" w:cs="Arial"/>
          <w:bCs/>
          <w:lang w:val="es-MX"/>
        </w:rPr>
        <w:t>**** Zona Alejada</w:t>
      </w:r>
      <w:r w:rsidR="000E6FF9">
        <w:rPr>
          <w:rFonts w:ascii="Arial" w:hAnsi="Arial" w:cs="Arial"/>
          <w:bCs/>
          <w:lang w:val="es-MX"/>
        </w:rPr>
        <w:t>: compre</w:t>
      </w:r>
      <w:r w:rsidR="000C756E">
        <w:rPr>
          <w:rFonts w:ascii="Arial" w:hAnsi="Arial" w:cs="Arial"/>
          <w:bCs/>
          <w:lang w:val="es-MX"/>
        </w:rPr>
        <w:t xml:space="preserve">nde las ciudades de San Andrés, Providencia </w:t>
      </w:r>
      <w:r w:rsidR="000E6FF9">
        <w:rPr>
          <w:rFonts w:ascii="Arial" w:hAnsi="Arial" w:cs="Arial"/>
          <w:bCs/>
          <w:lang w:val="es-MX"/>
        </w:rPr>
        <w:t>y Santa Catalina.</w:t>
      </w:r>
      <w:r w:rsidR="00A76D89" w:rsidRPr="009839FB">
        <w:rPr>
          <w:rFonts w:cs="Arial"/>
          <w:b/>
          <w:szCs w:val="22"/>
        </w:rPr>
        <w:t xml:space="preserve"> </w:t>
      </w:r>
    </w:p>
    <w:p w:rsidR="00D51C3E" w:rsidRDefault="00D51C3E" w:rsidP="003232EE">
      <w:pPr>
        <w:spacing w:after="240"/>
        <w:jc w:val="both"/>
      </w:pPr>
    </w:p>
    <w:sectPr w:rsidR="00D51C3E" w:rsidSect="00CF2B51">
      <w:headerReference w:type="default" r:id="rId8"/>
      <w:footerReference w:type="default" r:id="rId9"/>
      <w:pgSz w:w="12242" w:h="15842" w:code="1"/>
      <w:pgMar w:top="1134" w:right="1134" w:bottom="1134" w:left="851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A59" w:rsidRDefault="00706A59">
      <w:r>
        <w:separator/>
      </w:r>
    </w:p>
  </w:endnote>
  <w:endnote w:type="continuationSeparator" w:id="0">
    <w:p w:rsidR="00706A59" w:rsidRDefault="00706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Arrus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CD2" w:rsidRPr="00E4280D" w:rsidRDefault="00393CD2" w:rsidP="00DF67C9">
    <w:pPr>
      <w:tabs>
        <w:tab w:val="left" w:pos="7513"/>
      </w:tabs>
      <w:rPr>
        <w:rFonts w:ascii="Arial" w:hAnsi="Arial" w:cs="Arial"/>
        <w:lang w:val="es-MX"/>
      </w:rPr>
    </w:pPr>
    <w:r w:rsidRPr="00E4280D">
      <w:rPr>
        <w:rFonts w:ascii="Arial" w:hAnsi="Arial" w:cs="Arial"/>
      </w:rPr>
      <w:t xml:space="preserve">Página </w:t>
    </w:r>
    <w:r w:rsidR="00BF378B" w:rsidRPr="00E4280D">
      <w:rPr>
        <w:rFonts w:ascii="Arial" w:hAnsi="Arial" w:cs="Arial"/>
        <w:b/>
      </w:rPr>
      <w:fldChar w:fldCharType="begin"/>
    </w:r>
    <w:r w:rsidRPr="00E4280D">
      <w:rPr>
        <w:rFonts w:ascii="Arial" w:hAnsi="Arial" w:cs="Arial"/>
        <w:b/>
      </w:rPr>
      <w:instrText xml:space="preserve"> PAGE </w:instrText>
    </w:r>
    <w:r w:rsidR="00BF378B" w:rsidRPr="00E4280D">
      <w:rPr>
        <w:rFonts w:ascii="Arial" w:hAnsi="Arial" w:cs="Arial"/>
        <w:b/>
      </w:rPr>
      <w:fldChar w:fldCharType="separate"/>
    </w:r>
    <w:r w:rsidR="005A540B">
      <w:rPr>
        <w:rFonts w:ascii="Arial" w:hAnsi="Arial" w:cs="Arial"/>
        <w:b/>
        <w:noProof/>
      </w:rPr>
      <w:t>1</w:t>
    </w:r>
    <w:r w:rsidR="00BF378B" w:rsidRPr="00E4280D">
      <w:rPr>
        <w:rFonts w:ascii="Arial" w:hAnsi="Arial" w:cs="Arial"/>
        <w:b/>
      </w:rPr>
      <w:fldChar w:fldCharType="end"/>
    </w:r>
    <w:r w:rsidRPr="00E4280D">
      <w:rPr>
        <w:rFonts w:ascii="Arial" w:hAnsi="Arial" w:cs="Arial"/>
      </w:rPr>
      <w:t xml:space="preserve"> de </w:t>
    </w:r>
    <w:r w:rsidR="00ED01C1">
      <w:rPr>
        <w:rFonts w:ascii="Arial" w:hAnsi="Arial" w:cs="Arial"/>
        <w:b/>
      </w:rPr>
      <w:t>3</w:t>
    </w:r>
    <w:r w:rsidRPr="00E4280D">
      <w:rPr>
        <w:rFonts w:ascii="Arial" w:hAnsi="Arial" w:cs="Arial"/>
        <w:b/>
      </w:rPr>
      <w:t xml:space="preserve">   </w:t>
    </w:r>
    <w:r w:rsidRPr="00E4280D">
      <w:rPr>
        <w:rFonts w:ascii="Arial" w:hAnsi="Arial" w:cs="Arial"/>
      </w:rPr>
      <w:t xml:space="preserve">                                                                               </w:t>
    </w:r>
    <w:r w:rsidR="003E1D0E">
      <w:rPr>
        <w:rFonts w:ascii="Arial" w:hAnsi="Arial" w:cs="Arial"/>
      </w:rPr>
      <w:t xml:space="preserve">               </w:t>
    </w:r>
    <w:r w:rsidRPr="00E4280D">
      <w:rPr>
        <w:rFonts w:ascii="Arial" w:hAnsi="Arial" w:cs="Arial"/>
      </w:rPr>
      <w:t xml:space="preserve">Circular Reglamentaria No. </w:t>
    </w:r>
    <w:r w:rsidRPr="00E4280D">
      <w:rPr>
        <w:rFonts w:ascii="Arial" w:hAnsi="Arial" w:cs="Arial"/>
        <w:b/>
        <w:lang w:val="es-MX"/>
      </w:rPr>
      <w:t xml:space="preserve">EPS-DC-195 </w:t>
    </w:r>
  </w:p>
  <w:p w:rsidR="00393CD2" w:rsidRPr="00E4280D" w:rsidRDefault="00E4280D">
    <w:pPr>
      <w:pStyle w:val="Piedepgina"/>
      <w:rPr>
        <w:rFonts w:ascii="Arial" w:hAnsi="Arial" w:cs="Arial"/>
      </w:rPr>
    </w:pPr>
    <w:r w:rsidRPr="00E4280D">
      <w:rPr>
        <w:rFonts w:ascii="Arial" w:hAnsi="Arial" w:cs="Arial"/>
      </w:rPr>
      <w:t>SC-FT-081</w:t>
    </w:r>
    <w:r w:rsidRPr="00E4280D">
      <w:rPr>
        <w:rFonts w:ascii="Arial" w:hAnsi="Arial" w:cs="Arial"/>
      </w:rPr>
      <w:tab/>
      <w:t xml:space="preserve">                            </w:t>
    </w:r>
    <w:r>
      <w:rPr>
        <w:rFonts w:ascii="Arial" w:hAnsi="Arial" w:cs="Arial"/>
      </w:rPr>
      <w:t xml:space="preserve">                                                                                                     </w:t>
    </w:r>
    <w:r w:rsidR="003E1D0E">
      <w:rPr>
        <w:rFonts w:ascii="Arial" w:hAnsi="Arial" w:cs="Arial"/>
      </w:rPr>
      <w:t xml:space="preserve">              </w:t>
    </w:r>
    <w:proofErr w:type="spellStart"/>
    <w:r w:rsidRPr="00E4280D">
      <w:rPr>
        <w:rFonts w:ascii="Arial" w:hAnsi="Arial" w:cs="Arial"/>
      </w:rPr>
      <w:t>Mod.Ene</w:t>
    </w:r>
    <w:proofErr w:type="spellEnd"/>
    <w:r w:rsidRPr="00E4280D">
      <w:rPr>
        <w:rFonts w:ascii="Arial" w:hAnsi="Arial" w:cs="Arial"/>
      </w:rPr>
      <w:t>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A59" w:rsidRDefault="00706A59">
      <w:r>
        <w:separator/>
      </w:r>
    </w:p>
  </w:footnote>
  <w:footnote w:type="continuationSeparator" w:id="0">
    <w:p w:rsidR="00706A59" w:rsidRDefault="00706A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CD2" w:rsidRDefault="00393CD2" w:rsidP="00DF67C9">
    <w:pPr>
      <w:pStyle w:val="Encabezado"/>
      <w:ind w:left="-993"/>
    </w:pPr>
    <w:r w:rsidRPr="00DF67C9">
      <w:rPr>
        <w:rFonts w:ascii="Arial" w:hAnsi="Arial"/>
        <w:sz w:val="22"/>
      </w:rPr>
      <w:object w:dxaOrig="11944" w:dyaOrig="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7pt;height:68.25pt" o:ole="" fillcolor="window">
          <v:imagedata r:id="rId1" o:title=""/>
        </v:shape>
        <o:OLEObject Type="Embed" ProgID="Word.Document.8" ShapeID="_x0000_i1025" DrawAspect="Content" ObjectID="_1500364675" r:id="rId2">
          <o:FieldCodes>\s</o:FieldCodes>
        </o:OLEObject>
      </w:object>
    </w:r>
  </w:p>
  <w:p w:rsidR="00393CD2" w:rsidRDefault="00393CD2">
    <w:pPr>
      <w:pStyle w:val="Encabezado"/>
      <w:ind w:left="-99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0BE"/>
    <w:multiLevelType w:val="multilevel"/>
    <w:tmpl w:val="DF48572C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1E7230FA"/>
    <w:multiLevelType w:val="hybridMultilevel"/>
    <w:tmpl w:val="9A58CCC0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4B2C8C"/>
    <w:multiLevelType w:val="hybridMultilevel"/>
    <w:tmpl w:val="619E41A2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957A70"/>
    <w:multiLevelType w:val="hybridMultilevel"/>
    <w:tmpl w:val="97A03CF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741FFB"/>
    <w:multiLevelType w:val="hybridMultilevel"/>
    <w:tmpl w:val="FEE2ABC2"/>
    <w:lvl w:ilvl="0" w:tplc="A3186484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8B21C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202C14"/>
    <w:multiLevelType w:val="multilevel"/>
    <w:tmpl w:val="A4143778"/>
    <w:lvl w:ilvl="0">
      <w:start w:val="3"/>
      <w:numFmt w:val="decimal"/>
      <w:lvlText w:val="%1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74"/>
        </w:tabs>
        <w:ind w:left="3174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3414"/>
        </w:tabs>
        <w:ind w:left="341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3414"/>
        </w:tabs>
        <w:ind w:left="341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3414"/>
        </w:tabs>
        <w:ind w:left="341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3774"/>
        </w:tabs>
        <w:ind w:left="377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774"/>
        </w:tabs>
        <w:ind w:left="377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134"/>
        </w:tabs>
        <w:ind w:left="413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134"/>
        </w:tabs>
        <w:ind w:left="4134" w:hanging="1440"/>
      </w:pPr>
      <w:rPr>
        <w:rFonts w:hint="default"/>
        <w:b/>
      </w:rPr>
    </w:lvl>
  </w:abstractNum>
  <w:abstractNum w:abstractNumId="7">
    <w:nsid w:val="7D155DA6"/>
    <w:multiLevelType w:val="hybridMultilevel"/>
    <w:tmpl w:val="49A8006C"/>
    <w:lvl w:ilvl="0" w:tplc="F2648E2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946FA"/>
    <w:rsid w:val="00012B5A"/>
    <w:rsid w:val="00022701"/>
    <w:rsid w:val="000324F9"/>
    <w:rsid w:val="000621E9"/>
    <w:rsid w:val="00062602"/>
    <w:rsid w:val="0009421E"/>
    <w:rsid w:val="000946FA"/>
    <w:rsid w:val="00096073"/>
    <w:rsid w:val="00096CC5"/>
    <w:rsid w:val="000A2CD6"/>
    <w:rsid w:val="000B1F90"/>
    <w:rsid w:val="000B698D"/>
    <w:rsid w:val="000C756E"/>
    <w:rsid w:val="000D36F8"/>
    <w:rsid w:val="000E6FF9"/>
    <w:rsid w:val="000F061C"/>
    <w:rsid w:val="00135E84"/>
    <w:rsid w:val="00135F31"/>
    <w:rsid w:val="001659F8"/>
    <w:rsid w:val="00166DB2"/>
    <w:rsid w:val="00166FCF"/>
    <w:rsid w:val="0017357B"/>
    <w:rsid w:val="001C56DD"/>
    <w:rsid w:val="001D2DBE"/>
    <w:rsid w:val="001D660D"/>
    <w:rsid w:val="001E281E"/>
    <w:rsid w:val="001F33FB"/>
    <w:rsid w:val="0024454A"/>
    <w:rsid w:val="00267927"/>
    <w:rsid w:val="00297D45"/>
    <w:rsid w:val="002A5C24"/>
    <w:rsid w:val="002B3AF1"/>
    <w:rsid w:val="002E624D"/>
    <w:rsid w:val="002E78C9"/>
    <w:rsid w:val="00314225"/>
    <w:rsid w:val="003232EE"/>
    <w:rsid w:val="00332F87"/>
    <w:rsid w:val="003464F9"/>
    <w:rsid w:val="003533A6"/>
    <w:rsid w:val="00361A9A"/>
    <w:rsid w:val="0036295F"/>
    <w:rsid w:val="00387E10"/>
    <w:rsid w:val="00393CD2"/>
    <w:rsid w:val="0039600E"/>
    <w:rsid w:val="00396408"/>
    <w:rsid w:val="003A05E2"/>
    <w:rsid w:val="003E1D0E"/>
    <w:rsid w:val="003E4DD7"/>
    <w:rsid w:val="003F1D2C"/>
    <w:rsid w:val="003F6D5B"/>
    <w:rsid w:val="00400A59"/>
    <w:rsid w:val="00424AC9"/>
    <w:rsid w:val="00440051"/>
    <w:rsid w:val="00441F94"/>
    <w:rsid w:val="00464857"/>
    <w:rsid w:val="004756C3"/>
    <w:rsid w:val="00495A7E"/>
    <w:rsid w:val="004A72E5"/>
    <w:rsid w:val="004B18F0"/>
    <w:rsid w:val="004B5C17"/>
    <w:rsid w:val="004B5C49"/>
    <w:rsid w:val="004B76BC"/>
    <w:rsid w:val="004C6F9F"/>
    <w:rsid w:val="004F08A5"/>
    <w:rsid w:val="00514DC1"/>
    <w:rsid w:val="0052387A"/>
    <w:rsid w:val="00535A88"/>
    <w:rsid w:val="0054346F"/>
    <w:rsid w:val="00565603"/>
    <w:rsid w:val="0059127E"/>
    <w:rsid w:val="005968B8"/>
    <w:rsid w:val="005A0472"/>
    <w:rsid w:val="005A540B"/>
    <w:rsid w:val="005C5A72"/>
    <w:rsid w:val="005C6E47"/>
    <w:rsid w:val="005D6B5A"/>
    <w:rsid w:val="005F3ADB"/>
    <w:rsid w:val="00606822"/>
    <w:rsid w:val="0062295F"/>
    <w:rsid w:val="00624FC0"/>
    <w:rsid w:val="00631BE2"/>
    <w:rsid w:val="006414FD"/>
    <w:rsid w:val="00644E05"/>
    <w:rsid w:val="00671ADF"/>
    <w:rsid w:val="006733BC"/>
    <w:rsid w:val="00680123"/>
    <w:rsid w:val="00682F8D"/>
    <w:rsid w:val="00691CCF"/>
    <w:rsid w:val="006A41E6"/>
    <w:rsid w:val="006D0F1F"/>
    <w:rsid w:val="006D7E46"/>
    <w:rsid w:val="006E0FCE"/>
    <w:rsid w:val="006E736F"/>
    <w:rsid w:val="006E7CB1"/>
    <w:rsid w:val="00706114"/>
    <w:rsid w:val="00706A59"/>
    <w:rsid w:val="00710555"/>
    <w:rsid w:val="00711656"/>
    <w:rsid w:val="00713D6F"/>
    <w:rsid w:val="007462E8"/>
    <w:rsid w:val="00752D8A"/>
    <w:rsid w:val="00754818"/>
    <w:rsid w:val="0076404C"/>
    <w:rsid w:val="00774307"/>
    <w:rsid w:val="00786206"/>
    <w:rsid w:val="007A6E63"/>
    <w:rsid w:val="007B2B99"/>
    <w:rsid w:val="007D15FA"/>
    <w:rsid w:val="007D2184"/>
    <w:rsid w:val="007D3439"/>
    <w:rsid w:val="007E2665"/>
    <w:rsid w:val="007F44F8"/>
    <w:rsid w:val="008107B4"/>
    <w:rsid w:val="00815197"/>
    <w:rsid w:val="0081642B"/>
    <w:rsid w:val="008342B4"/>
    <w:rsid w:val="0085395A"/>
    <w:rsid w:val="0089446E"/>
    <w:rsid w:val="00896BE1"/>
    <w:rsid w:val="008B0427"/>
    <w:rsid w:val="008C776E"/>
    <w:rsid w:val="008D7CCE"/>
    <w:rsid w:val="008E2FF2"/>
    <w:rsid w:val="008E5FA9"/>
    <w:rsid w:val="008F260A"/>
    <w:rsid w:val="00901076"/>
    <w:rsid w:val="009021B2"/>
    <w:rsid w:val="00931B61"/>
    <w:rsid w:val="00941CBE"/>
    <w:rsid w:val="00945C12"/>
    <w:rsid w:val="00957E0B"/>
    <w:rsid w:val="00974F2B"/>
    <w:rsid w:val="009839FB"/>
    <w:rsid w:val="00987341"/>
    <w:rsid w:val="009A263E"/>
    <w:rsid w:val="009A3748"/>
    <w:rsid w:val="009C0469"/>
    <w:rsid w:val="009D0424"/>
    <w:rsid w:val="009D1D09"/>
    <w:rsid w:val="00A06FA4"/>
    <w:rsid w:val="00A07F2F"/>
    <w:rsid w:val="00A1027A"/>
    <w:rsid w:val="00A146C3"/>
    <w:rsid w:val="00A15374"/>
    <w:rsid w:val="00A76D89"/>
    <w:rsid w:val="00A90D07"/>
    <w:rsid w:val="00A94359"/>
    <w:rsid w:val="00AB01A0"/>
    <w:rsid w:val="00AB34BA"/>
    <w:rsid w:val="00AD796A"/>
    <w:rsid w:val="00AE06ED"/>
    <w:rsid w:val="00B12EDC"/>
    <w:rsid w:val="00B24382"/>
    <w:rsid w:val="00B26EE0"/>
    <w:rsid w:val="00B332BB"/>
    <w:rsid w:val="00B57CFC"/>
    <w:rsid w:val="00B6217E"/>
    <w:rsid w:val="00B636E9"/>
    <w:rsid w:val="00B66A5B"/>
    <w:rsid w:val="00B66D3C"/>
    <w:rsid w:val="00BA375F"/>
    <w:rsid w:val="00BB3DA3"/>
    <w:rsid w:val="00BC0092"/>
    <w:rsid w:val="00BC0CDC"/>
    <w:rsid w:val="00BC3991"/>
    <w:rsid w:val="00BE4D62"/>
    <w:rsid w:val="00BF06B3"/>
    <w:rsid w:val="00BF378B"/>
    <w:rsid w:val="00C10407"/>
    <w:rsid w:val="00C311D1"/>
    <w:rsid w:val="00C420F1"/>
    <w:rsid w:val="00C805C5"/>
    <w:rsid w:val="00C82C61"/>
    <w:rsid w:val="00CB17B0"/>
    <w:rsid w:val="00CB2084"/>
    <w:rsid w:val="00CB5225"/>
    <w:rsid w:val="00CC0678"/>
    <w:rsid w:val="00CD2531"/>
    <w:rsid w:val="00CD375F"/>
    <w:rsid w:val="00CD558C"/>
    <w:rsid w:val="00CE54CC"/>
    <w:rsid w:val="00CF2B51"/>
    <w:rsid w:val="00D10939"/>
    <w:rsid w:val="00D35578"/>
    <w:rsid w:val="00D36342"/>
    <w:rsid w:val="00D51C3E"/>
    <w:rsid w:val="00D54167"/>
    <w:rsid w:val="00D60A8D"/>
    <w:rsid w:val="00D92EF1"/>
    <w:rsid w:val="00DC62F7"/>
    <w:rsid w:val="00DE1644"/>
    <w:rsid w:val="00DE1802"/>
    <w:rsid w:val="00DE7DB3"/>
    <w:rsid w:val="00DF05DA"/>
    <w:rsid w:val="00DF3349"/>
    <w:rsid w:val="00DF428E"/>
    <w:rsid w:val="00DF67C9"/>
    <w:rsid w:val="00E37E12"/>
    <w:rsid w:val="00E4280D"/>
    <w:rsid w:val="00E80870"/>
    <w:rsid w:val="00EA7F0B"/>
    <w:rsid w:val="00EB0F45"/>
    <w:rsid w:val="00ED01C1"/>
    <w:rsid w:val="00ED5D1F"/>
    <w:rsid w:val="00F0570D"/>
    <w:rsid w:val="00F10387"/>
    <w:rsid w:val="00F13669"/>
    <w:rsid w:val="00F27B20"/>
    <w:rsid w:val="00F3019B"/>
    <w:rsid w:val="00F31505"/>
    <w:rsid w:val="00F31945"/>
    <w:rsid w:val="00F40EA7"/>
    <w:rsid w:val="00F53EF4"/>
    <w:rsid w:val="00F5684E"/>
    <w:rsid w:val="00F76636"/>
    <w:rsid w:val="00F869D4"/>
    <w:rsid w:val="00F9761F"/>
    <w:rsid w:val="00FA1B69"/>
    <w:rsid w:val="00FA707F"/>
    <w:rsid w:val="00FB628A"/>
    <w:rsid w:val="00FD1E99"/>
    <w:rsid w:val="00FD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7B"/>
    <w:rPr>
      <w:lang w:val="es-ES" w:eastAsia="es-ES"/>
    </w:rPr>
  </w:style>
  <w:style w:type="paragraph" w:styleId="Ttulo1">
    <w:name w:val="heading 1"/>
    <w:basedOn w:val="Normal"/>
    <w:next w:val="Normal"/>
    <w:qFormat/>
    <w:rsid w:val="0017357B"/>
    <w:pPr>
      <w:keepNext/>
      <w:outlineLvl w:val="0"/>
    </w:pPr>
    <w:rPr>
      <w:rFonts w:ascii="CastleT" w:hAnsi="CastleT"/>
      <w:b/>
    </w:rPr>
  </w:style>
  <w:style w:type="paragraph" w:styleId="Ttulo2">
    <w:name w:val="heading 2"/>
    <w:basedOn w:val="Normal"/>
    <w:next w:val="Normal"/>
    <w:qFormat/>
    <w:rsid w:val="0017357B"/>
    <w:pPr>
      <w:keepNext/>
      <w:tabs>
        <w:tab w:val="left" w:pos="6946"/>
      </w:tabs>
      <w:jc w:val="center"/>
      <w:outlineLvl w:val="1"/>
    </w:pPr>
    <w:rPr>
      <w:rFonts w:ascii="CastleT" w:hAnsi="CastleT"/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17357B"/>
    <w:pPr>
      <w:keepNext/>
      <w:ind w:left="5625" w:hanging="4950"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17357B"/>
    <w:pPr>
      <w:keepNext/>
      <w:outlineLvl w:val="3"/>
    </w:pPr>
    <w:rPr>
      <w:rFonts w:ascii="CastleT" w:hAnsi="CastleT"/>
      <w:b/>
      <w:sz w:val="18"/>
    </w:rPr>
  </w:style>
  <w:style w:type="paragraph" w:styleId="Ttulo5">
    <w:name w:val="heading 5"/>
    <w:basedOn w:val="Normal"/>
    <w:next w:val="Normal"/>
    <w:qFormat/>
    <w:rsid w:val="0017357B"/>
    <w:pPr>
      <w:keepNext/>
      <w:jc w:val="both"/>
      <w:outlineLvl w:val="4"/>
    </w:pPr>
    <w:rPr>
      <w:rFonts w:ascii="CastleT" w:hAnsi="CastleT"/>
      <w:b/>
      <w:sz w:val="18"/>
    </w:rPr>
  </w:style>
  <w:style w:type="paragraph" w:styleId="Ttulo6">
    <w:name w:val="heading 6"/>
    <w:basedOn w:val="Normal"/>
    <w:next w:val="Normal"/>
    <w:qFormat/>
    <w:rsid w:val="0017357B"/>
    <w:pPr>
      <w:keepNext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rsid w:val="0017357B"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17357B"/>
    <w:pPr>
      <w:keepNext/>
      <w:outlineLvl w:val="7"/>
    </w:pPr>
    <w:rPr>
      <w:rFonts w:ascii="Arial" w:hAnsi="Arial"/>
      <w:snapToGrid w:val="0"/>
      <w:color w:val="000000"/>
      <w:sz w:val="24"/>
      <w:lang w:val="es-MX"/>
    </w:rPr>
  </w:style>
  <w:style w:type="paragraph" w:styleId="Ttulo9">
    <w:name w:val="heading 9"/>
    <w:basedOn w:val="Normal"/>
    <w:next w:val="Normal"/>
    <w:qFormat/>
    <w:rsid w:val="0017357B"/>
    <w:pPr>
      <w:keepNext/>
      <w:jc w:val="center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73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7357B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17357B"/>
    <w:pPr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17357B"/>
  </w:style>
  <w:style w:type="paragraph" w:styleId="Sangra3detindependiente">
    <w:name w:val="Body Text Indent 3"/>
    <w:basedOn w:val="Normal"/>
    <w:rsid w:val="0017357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rFonts w:ascii="Arial" w:hAnsi="Arial"/>
      <w:snapToGrid w:val="0"/>
      <w:sz w:val="22"/>
      <w:lang w:val="es-ES_tradnl"/>
    </w:rPr>
  </w:style>
  <w:style w:type="paragraph" w:styleId="Sangradetextonormal">
    <w:name w:val="Body Text Indent"/>
    <w:basedOn w:val="Normal"/>
    <w:rsid w:val="0017357B"/>
    <w:pPr>
      <w:tabs>
        <w:tab w:val="left" w:pos="-1440"/>
        <w:tab w:val="left" w:pos="-720"/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080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rsid w:val="0017357B"/>
    <w:pPr>
      <w:tabs>
        <w:tab w:val="left" w:pos="-1440"/>
        <w:tab w:val="left" w:pos="-720"/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08"/>
      <w:jc w:val="both"/>
    </w:pPr>
    <w:rPr>
      <w:rFonts w:ascii="Arial" w:hAnsi="Arial"/>
      <w:lang w:val="es-ES_tradnl"/>
    </w:rPr>
  </w:style>
  <w:style w:type="paragraph" w:styleId="Epgrafe">
    <w:name w:val="caption"/>
    <w:basedOn w:val="Normal"/>
    <w:next w:val="Normal"/>
    <w:qFormat/>
    <w:rsid w:val="0017357B"/>
    <w:rPr>
      <w:rFonts w:ascii="Arrus BT" w:hAnsi="Arrus BT"/>
      <w:b/>
      <w:sz w:val="16"/>
    </w:rPr>
  </w:style>
  <w:style w:type="paragraph" w:styleId="Textoindependiente2">
    <w:name w:val="Body Text 2"/>
    <w:basedOn w:val="Normal"/>
    <w:rsid w:val="0017357B"/>
    <w:pPr>
      <w:jc w:val="both"/>
    </w:pPr>
    <w:rPr>
      <w:rFonts w:ascii="Arial" w:hAnsi="Arial"/>
      <w:sz w:val="22"/>
    </w:rPr>
  </w:style>
  <w:style w:type="paragraph" w:styleId="Textonotapie">
    <w:name w:val="footnote text"/>
    <w:basedOn w:val="Normal"/>
    <w:semiHidden/>
    <w:rsid w:val="0017357B"/>
  </w:style>
  <w:style w:type="character" w:styleId="Refdenotaalpie">
    <w:name w:val="footnote reference"/>
    <w:basedOn w:val="Fuentedeprrafopredeter"/>
    <w:semiHidden/>
    <w:rsid w:val="0017357B"/>
    <w:rPr>
      <w:vertAlign w:val="superscript"/>
    </w:rPr>
  </w:style>
  <w:style w:type="character" w:styleId="Hipervnculo">
    <w:name w:val="Hyperlink"/>
    <w:basedOn w:val="Fuentedeprrafopredeter"/>
    <w:rsid w:val="0017357B"/>
    <w:rPr>
      <w:color w:val="0000FF"/>
      <w:u w:val="single"/>
    </w:rPr>
  </w:style>
  <w:style w:type="paragraph" w:styleId="Mapadeldocumento">
    <w:name w:val="Document Map"/>
    <w:basedOn w:val="Normal"/>
    <w:semiHidden/>
    <w:rsid w:val="0017357B"/>
    <w:pPr>
      <w:shd w:val="clear" w:color="auto" w:fill="000080"/>
    </w:pPr>
    <w:rPr>
      <w:rFonts w:ascii="Tahoma" w:hAnsi="Tahoma"/>
    </w:rPr>
  </w:style>
  <w:style w:type="paragraph" w:styleId="Textoindependiente3">
    <w:name w:val="Body Text 3"/>
    <w:basedOn w:val="Normal"/>
    <w:rsid w:val="0017357B"/>
    <w:pPr>
      <w:jc w:val="both"/>
    </w:pPr>
    <w:rPr>
      <w:rFonts w:ascii="Arial" w:hAnsi="Arial"/>
      <w:b/>
      <w:sz w:val="22"/>
    </w:rPr>
  </w:style>
  <w:style w:type="paragraph" w:styleId="NormalWeb">
    <w:name w:val="Normal (Web)"/>
    <w:basedOn w:val="Normal"/>
    <w:rsid w:val="009839FB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9839FB"/>
    <w:rPr>
      <w:b/>
      <w:bCs/>
    </w:rPr>
  </w:style>
  <w:style w:type="paragraph" w:customStyle="1" w:styleId="section1">
    <w:name w:val="section1"/>
    <w:basedOn w:val="Normal"/>
    <w:rsid w:val="00A15374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semiHidden/>
    <w:rsid w:val="00F27B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746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7B"/>
    <w:rPr>
      <w:lang w:val="es-ES" w:eastAsia="es-ES"/>
    </w:rPr>
  </w:style>
  <w:style w:type="paragraph" w:styleId="Ttulo1">
    <w:name w:val="heading 1"/>
    <w:basedOn w:val="Normal"/>
    <w:next w:val="Normal"/>
    <w:qFormat/>
    <w:rsid w:val="0017357B"/>
    <w:pPr>
      <w:keepNext/>
      <w:outlineLvl w:val="0"/>
    </w:pPr>
    <w:rPr>
      <w:rFonts w:ascii="CastleT" w:hAnsi="CastleT"/>
      <w:b/>
    </w:rPr>
  </w:style>
  <w:style w:type="paragraph" w:styleId="Ttulo2">
    <w:name w:val="heading 2"/>
    <w:basedOn w:val="Normal"/>
    <w:next w:val="Normal"/>
    <w:qFormat/>
    <w:rsid w:val="0017357B"/>
    <w:pPr>
      <w:keepNext/>
      <w:tabs>
        <w:tab w:val="left" w:pos="6946"/>
      </w:tabs>
      <w:jc w:val="center"/>
      <w:outlineLvl w:val="1"/>
    </w:pPr>
    <w:rPr>
      <w:rFonts w:ascii="CastleT" w:hAnsi="CastleT"/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17357B"/>
    <w:pPr>
      <w:keepNext/>
      <w:ind w:left="5625" w:hanging="4950"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17357B"/>
    <w:pPr>
      <w:keepNext/>
      <w:outlineLvl w:val="3"/>
    </w:pPr>
    <w:rPr>
      <w:rFonts w:ascii="CastleT" w:hAnsi="CastleT"/>
      <w:b/>
      <w:sz w:val="18"/>
    </w:rPr>
  </w:style>
  <w:style w:type="paragraph" w:styleId="Ttulo5">
    <w:name w:val="heading 5"/>
    <w:basedOn w:val="Normal"/>
    <w:next w:val="Normal"/>
    <w:qFormat/>
    <w:rsid w:val="0017357B"/>
    <w:pPr>
      <w:keepNext/>
      <w:jc w:val="both"/>
      <w:outlineLvl w:val="4"/>
    </w:pPr>
    <w:rPr>
      <w:rFonts w:ascii="CastleT" w:hAnsi="CastleT"/>
      <w:b/>
      <w:sz w:val="18"/>
    </w:rPr>
  </w:style>
  <w:style w:type="paragraph" w:styleId="Ttulo6">
    <w:name w:val="heading 6"/>
    <w:basedOn w:val="Normal"/>
    <w:next w:val="Normal"/>
    <w:qFormat/>
    <w:rsid w:val="0017357B"/>
    <w:pPr>
      <w:keepNext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rsid w:val="0017357B"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rsid w:val="0017357B"/>
    <w:pPr>
      <w:keepNext/>
      <w:outlineLvl w:val="7"/>
    </w:pPr>
    <w:rPr>
      <w:rFonts w:ascii="Arial" w:hAnsi="Arial"/>
      <w:snapToGrid w:val="0"/>
      <w:color w:val="000000"/>
      <w:sz w:val="24"/>
      <w:lang w:val="es-MX"/>
    </w:rPr>
  </w:style>
  <w:style w:type="paragraph" w:styleId="Ttulo9">
    <w:name w:val="heading 9"/>
    <w:basedOn w:val="Normal"/>
    <w:next w:val="Normal"/>
    <w:qFormat/>
    <w:rsid w:val="0017357B"/>
    <w:pPr>
      <w:keepNext/>
      <w:jc w:val="center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73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7357B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17357B"/>
    <w:pPr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17357B"/>
  </w:style>
  <w:style w:type="paragraph" w:styleId="Sangra3detindependiente">
    <w:name w:val="Body Text Indent 3"/>
    <w:basedOn w:val="Normal"/>
    <w:rsid w:val="0017357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rFonts w:ascii="Arial" w:hAnsi="Arial"/>
      <w:snapToGrid w:val="0"/>
      <w:sz w:val="22"/>
      <w:lang w:val="es-ES_tradnl"/>
    </w:rPr>
  </w:style>
  <w:style w:type="paragraph" w:styleId="Sangradetextonormal">
    <w:name w:val="Body Text Indent"/>
    <w:basedOn w:val="Normal"/>
    <w:rsid w:val="0017357B"/>
    <w:pPr>
      <w:tabs>
        <w:tab w:val="left" w:pos="-1440"/>
        <w:tab w:val="left" w:pos="-720"/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080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rsid w:val="0017357B"/>
    <w:pPr>
      <w:tabs>
        <w:tab w:val="left" w:pos="-1440"/>
        <w:tab w:val="left" w:pos="-720"/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08"/>
      <w:jc w:val="both"/>
    </w:pPr>
    <w:rPr>
      <w:rFonts w:ascii="Arial" w:hAnsi="Arial"/>
      <w:lang w:val="es-ES_tradnl"/>
    </w:rPr>
  </w:style>
  <w:style w:type="paragraph" w:styleId="Epgrafe">
    <w:name w:val="caption"/>
    <w:basedOn w:val="Normal"/>
    <w:next w:val="Normal"/>
    <w:qFormat/>
    <w:rsid w:val="0017357B"/>
    <w:rPr>
      <w:rFonts w:ascii="Arrus BT" w:hAnsi="Arrus BT"/>
      <w:b/>
      <w:sz w:val="16"/>
    </w:rPr>
  </w:style>
  <w:style w:type="paragraph" w:styleId="Textoindependiente2">
    <w:name w:val="Body Text 2"/>
    <w:basedOn w:val="Normal"/>
    <w:rsid w:val="0017357B"/>
    <w:pPr>
      <w:jc w:val="both"/>
    </w:pPr>
    <w:rPr>
      <w:rFonts w:ascii="Arial" w:hAnsi="Arial"/>
      <w:sz w:val="22"/>
    </w:rPr>
  </w:style>
  <w:style w:type="paragraph" w:styleId="Textonotapie">
    <w:name w:val="footnote text"/>
    <w:basedOn w:val="Normal"/>
    <w:semiHidden/>
    <w:rsid w:val="0017357B"/>
  </w:style>
  <w:style w:type="character" w:styleId="Refdenotaalpie">
    <w:name w:val="footnote reference"/>
    <w:basedOn w:val="Fuentedeprrafopredeter"/>
    <w:semiHidden/>
    <w:rsid w:val="0017357B"/>
    <w:rPr>
      <w:vertAlign w:val="superscript"/>
    </w:rPr>
  </w:style>
  <w:style w:type="character" w:styleId="Hipervnculo">
    <w:name w:val="Hyperlink"/>
    <w:basedOn w:val="Fuentedeprrafopredeter"/>
    <w:rsid w:val="0017357B"/>
    <w:rPr>
      <w:color w:val="0000FF"/>
      <w:u w:val="single"/>
    </w:rPr>
  </w:style>
  <w:style w:type="paragraph" w:styleId="Mapadeldocumento">
    <w:name w:val="Document Map"/>
    <w:basedOn w:val="Normal"/>
    <w:semiHidden/>
    <w:rsid w:val="0017357B"/>
    <w:pPr>
      <w:shd w:val="clear" w:color="auto" w:fill="000080"/>
    </w:pPr>
    <w:rPr>
      <w:rFonts w:ascii="Tahoma" w:hAnsi="Tahoma"/>
    </w:rPr>
  </w:style>
  <w:style w:type="paragraph" w:styleId="Textoindependiente3">
    <w:name w:val="Body Text 3"/>
    <w:basedOn w:val="Normal"/>
    <w:rsid w:val="0017357B"/>
    <w:pPr>
      <w:jc w:val="both"/>
    </w:pPr>
    <w:rPr>
      <w:rFonts w:ascii="Arial" w:hAnsi="Arial"/>
      <w:b/>
      <w:sz w:val="22"/>
    </w:rPr>
  </w:style>
  <w:style w:type="paragraph" w:styleId="NormalWeb">
    <w:name w:val="Normal (Web)"/>
    <w:basedOn w:val="Normal"/>
    <w:rsid w:val="009839FB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9839FB"/>
    <w:rPr>
      <w:b/>
      <w:bCs/>
    </w:rPr>
  </w:style>
  <w:style w:type="paragraph" w:customStyle="1" w:styleId="section1">
    <w:name w:val="section1"/>
    <w:basedOn w:val="Normal"/>
    <w:rsid w:val="00A15374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semiHidden/>
    <w:rsid w:val="00F27B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E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746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Documento_de_Microsoft_Office_Word_97-20031.doc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2747-3FB9-4F1C-96DC-885E0DFF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 junio 19 de 2000</vt:lpstr>
    </vt:vector>
  </TitlesOfParts>
  <Company>Coomeva E.P.S.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 junio 19 de 2000</dc:title>
  <dc:creator>Coomeva E.P.S.</dc:creator>
  <cp:lastModifiedBy>Angela castañeda</cp:lastModifiedBy>
  <cp:revision>3</cp:revision>
  <cp:lastPrinted>2013-01-04T14:13:00Z</cp:lastPrinted>
  <dcterms:created xsi:type="dcterms:W3CDTF">2015-01-07T19:29:00Z</dcterms:created>
  <dcterms:modified xsi:type="dcterms:W3CDTF">2015-08-06T16:12:00Z</dcterms:modified>
</cp:coreProperties>
</file>