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6" w:rsidRDefault="00D651B6" w:rsidP="00D6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D651B6" w:rsidRDefault="00D651B6" w:rsidP="00D6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D651B6" w:rsidRDefault="00D651B6" w:rsidP="00D6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D651B6" w:rsidRDefault="00D651B6" w:rsidP="00D6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CORREO ENVIADO POR LA DRA. ANA DURANGO EN SEPTIEMBRE 12-2015</w:t>
      </w:r>
    </w:p>
    <w:p w:rsidR="00D651B6" w:rsidRDefault="00D651B6" w:rsidP="00D6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Buenos  días  Importante  para tener en cuenta en las  ventas de tradicional especial.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En SURAMERICANA en  el complementario. Hay  unos  requisitos  de ingreso.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Grupo asegurable.  Todo el  Grupo Familiar </w:t>
      </w:r>
      <w:proofErr w:type="gramStart"/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( cónyuge</w:t>
      </w:r>
      <w:proofErr w:type="gramEnd"/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 los  hijos  dependiente.) si desean ingresar  padres tiene   que ingresar el cotizante también. Todos  tienen que estar en el mismo plan.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En Coomeva  puede ser uno  solo no hay requisito en </w:t>
      </w:r>
      <w:proofErr w:type="gramStart"/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grupo .</w:t>
      </w:r>
      <w:proofErr w:type="gramEnd"/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Tienen que tener la  Eps  de Sura  y además  siempre la utilización es por EPS.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En Coomeva  cualquier Eps y Hay directorio cerrado pero no es pegado a  EPS nuestro tradicional especial es un producto de Medicina Prepagada.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 Coomeva se Maneja  La urgencia al 100% en Sura no, la urgencia  es por EPS</w:t>
      </w:r>
      <w:proofErr w:type="gramStart"/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..</w:t>
      </w:r>
      <w:proofErr w:type="gramEnd"/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En Colectivos   en Sura  tienen que ser  Diez cotizantes empleados, y solo  se pueden afiliar en el momento de abrir el colectivo y a los  seis meses y a la renovación.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Feliz día.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Ana Cecilia Durango </w:t>
      </w:r>
      <w:proofErr w:type="spellStart"/>
      <w:r w:rsidRPr="00D651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Durango</w:t>
      </w:r>
      <w:proofErr w:type="spellEnd"/>
      <w:r w:rsidRPr="00D651B6">
        <w:rPr>
          <w:rFonts w:ascii="Arial" w:eastAsia="Times New Roman" w:hAnsi="Arial" w:cs="Arial"/>
          <w:color w:val="0000FF"/>
          <w:sz w:val="24"/>
          <w:szCs w:val="24"/>
          <w:lang w:eastAsia="es-CO"/>
        </w:rPr>
        <w:br/>
      </w:r>
      <w:r w:rsidRPr="00D651B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Jefe de Ventas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Sector Salud Coomeva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CO"/>
        </w:rPr>
      </w:pPr>
      <w:r w:rsidRPr="00D651B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Sede Administrativa Medicina Prepagada</w:t>
      </w:r>
      <w:r w:rsidRPr="00D651B6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Cra 43 A 16B-138 poblado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val="en-US" w:eastAsia="es-CO"/>
        </w:rPr>
      </w:pPr>
      <w:r w:rsidRPr="00D651B6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Tel (4) 3199800 ext. 42147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val="en-US" w:eastAsia="es-CO"/>
        </w:rPr>
      </w:pPr>
      <w:r w:rsidRPr="00D651B6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Medellin, Colombia</w:t>
      </w:r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val="en-US" w:eastAsia="es-CO"/>
        </w:rPr>
      </w:pPr>
      <w:hyperlink r:id="rId4" w:tgtFrame="_blank" w:history="1">
        <w:r w:rsidRPr="00D651B6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CO"/>
          </w:rPr>
          <w:t>anac_durango@coomeva.com.co</w:t>
        </w:r>
      </w:hyperlink>
    </w:p>
    <w:p w:rsidR="00D651B6" w:rsidRPr="00D651B6" w:rsidRDefault="00D651B6" w:rsidP="00D651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val="en-US" w:eastAsia="es-CO"/>
        </w:rPr>
      </w:pPr>
      <w:r w:rsidRPr="00D651B6">
        <w:rPr>
          <w:rFonts w:ascii="Arial" w:eastAsia="Times New Roman" w:hAnsi="Arial" w:cs="Arial"/>
          <w:color w:val="0F243E"/>
          <w:sz w:val="24"/>
          <w:szCs w:val="24"/>
          <w:lang w:val="en-US" w:eastAsia="es-CO"/>
        </w:rPr>
        <w:t> </w:t>
      </w:r>
    </w:p>
    <w:p w:rsidR="004E02C5" w:rsidRPr="00D651B6" w:rsidRDefault="00D651B6">
      <w:pPr>
        <w:rPr>
          <w:lang w:val="en-US"/>
        </w:rPr>
      </w:pPr>
    </w:p>
    <w:sectPr w:rsidR="004E02C5" w:rsidRPr="00D651B6" w:rsidSect="001D0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51B6"/>
    <w:rsid w:val="000013E6"/>
    <w:rsid w:val="001D0229"/>
    <w:rsid w:val="00D651B6"/>
    <w:rsid w:val="00E9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651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c_durango@coomeva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1051</Characters>
  <Application>Microsoft Office Word</Application>
  <DocSecurity>0</DocSecurity>
  <Lines>8</Lines>
  <Paragraphs>2</Paragraphs>
  <ScaleCrop>false</ScaleCrop>
  <Company>Hewlett-Packard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2015-09-14T12:39:00Z</dcterms:created>
  <dcterms:modified xsi:type="dcterms:W3CDTF">2015-09-14T12:40:00Z</dcterms:modified>
</cp:coreProperties>
</file>