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6D28D9"/>
          <w:sz w:val="88"/>
        </w:rPr>
        <w:t>MaestroAI</w:t>
      </w:r>
    </w:p>
    <w:p>
      <w:pPr>
        <w:jc w:val="center"/>
      </w:pPr>
      <w:r>
        <w:rPr>
          <w:b w:val="0"/>
          <w:color w:val="334155"/>
          <w:sz w:val="36"/>
        </w:rPr>
        <w:t>Documento Técnico — v2</w:t>
      </w:r>
    </w:p>
    <w:p>
      <w:pPr>
        <w:jc w:val="center"/>
      </w:pPr>
      <w:r>
        <w:rPr>
          <w:b w:val="0"/>
          <w:color w:val="64748B"/>
          <w:sz w:val="24"/>
        </w:rPr>
        <w:t>Arquitectura, capacidades, casos de uso por área, pendientes y configuración</w:t>
      </w:r>
    </w:p>
    <w:p>
      <w:pPr>
        <w:jc w:val="center"/>
      </w:pPr>
      <w:r>
        <w:rPr>
          <w:i/>
        </w:rPr>
        <w:t>Versión 2 · 2026 · Documento confidencial</w:t>
      </w:r>
    </w:p>
    <w:p>
      <w:r>
        <w:br w:type="page"/>
      </w:r>
    </w:p>
    <w:p>
      <w:pPr>
        <w:pStyle w:val="Heading1"/>
      </w:pPr>
      <w:r>
        <w:t>1. Resumen y alcance de la v2</w:t>
      </w:r>
    </w:p>
    <w:p>
      <w:r>
        <w:rPr>
          <w:b w:val="0"/>
          <w:i w:val="0"/>
          <w:color w:val="334155"/>
          <w:sz w:val="21"/>
        </w:rPr>
        <w:t>Esta versión 2 consolida la implementación real de MaestroAI frente al blueprint original: incorpora todo lo construido de más, deja especificado lo que falta por construir y añade casos de uso por área. La novedad de ingesta de esta versión: extracción de texto de PDF y DOCX (OCR opcional para escaneados).</w:t>
      </w:r>
    </w:p>
    <w:p>
      <w:pPr>
        <w:pStyle w:val="Heading1"/>
      </w:pPr>
      <w:r>
        <w:t>2. Blueprint → implementación (scorecard)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Elemento del blueprint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 Model Router (PUBLIC/INTERNAL/CONFIDENTIAL/RESTRICTED)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Minimizar / anonimizar / auditar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MVP: login, chat+RAG, carga segura, router, dashboard auditoría/costo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Agentes: Document Intelligence, Cyber, Proposal/SOW, Executive Copilot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Arquitectura por capas + multi-tenant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Modelo de datos (tenants, users, agents, documents, chunks, …, audit)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 workflows operativos (Ingesta, RAG, SOW, Cyber, Centro de mando, Fine-tuning)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 (n8n)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Cifrado AES-256 en reposo + KMS por tenant; RBAC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 adapters (OpenAI-compat, Ollama, vLLM, NaN, premium) · cost meter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 DOCX/PDF · security tests (injection, exfil, PII, cross-tenant)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Ingesta: extracción de texto de PDF/DOCX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 (v2)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Ingesta: antivirus (EICAR + ClamAV opcional) + tope de tamaño</w:t>
            </w:r>
          </w:p>
        </w:tc>
        <w:tc>
          <w:tcPr>
            <w:tcW w:type="dxa" w:w="4320"/>
          </w:tcPr>
          <w:p>
            <w:r>
              <w:rPr>
                <w:color w:val="15803D"/>
                <w:sz w:val="18"/>
              </w:rPr>
              <w:t>Hecho (v2)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Ingesta: OCR de escaneados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Parcial (opcional si hay binario)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MFA (multi-factor)</w:t>
            </w:r>
          </w:p>
        </w:tc>
        <w:tc>
          <w:tcPr>
            <w:tcW w:type="dxa" w:w="4320"/>
          </w:tcPr>
          <w:p>
            <w:r>
              <w:rPr>
                <w:color w:val="B45309"/>
                <w:sz w:val="18"/>
              </w:rPr>
              <w:t>Pendiente (campo listo, sin forzar)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Fine-tuning ligero (LoRA) real</w:t>
            </w:r>
          </w:p>
        </w:tc>
        <w:tc>
          <w:tcPr>
            <w:tcW w:type="dxa" w:w="4320"/>
          </w:tcPr>
          <w:p>
            <w:r>
              <w:rPr>
                <w:color w:val="B45309"/>
                <w:sz w:val="18"/>
              </w:rPr>
              <w:t>Pendiente (Fase 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Confidential computing / TEE · mTLS / private endpoints</w:t>
            </w:r>
          </w:p>
        </w:tc>
        <w:tc>
          <w:tcPr>
            <w:tcW w:type="dxa" w:w="4320"/>
          </w:tcPr>
          <w:p>
            <w:r>
              <w:rPr>
                <w:color w:val="B45309"/>
                <w:sz w:val="18"/>
              </w:rPr>
              <w:t>Pendiente (infra)</w:t>
            </w:r>
          </w:p>
        </w:tc>
      </w:tr>
    </w:tbl>
    <w:p/>
    <w:p>
      <w:pPr>
        <w:pStyle w:val="Heading1"/>
      </w:pPr>
      <w:r>
        <w:t>3. Construido más allá del blueprint</w:t>
      </w:r>
    </w:p>
    <w:p>
      <w:pPr>
        <w:pStyle w:val="ListBullet"/>
      </w:pPr>
      <w:r>
        <w:t>Cascada NaN → premium (premium solo a demanda) + eficiencia/condensación de tokens.</w:t>
      </w:r>
    </w:p>
    <w:p>
      <w:pPr>
        <w:pStyle w:val="ListBullet"/>
      </w:pPr>
      <w:r>
        <w:t>Reranking del RAG (Qwen3-Reranker) para más precisión.</w:t>
      </w:r>
    </w:p>
    <w:p>
      <w:pPr>
        <w:pStyle w:val="ListBullet"/>
      </w:pPr>
      <w:r>
        <w:t>Toolkit de acciones de ESCRITURA (Gmail/Outlook, Calendar, Sheets/Excel, Teams) con aprobación humana.</w:t>
      </w:r>
    </w:p>
    <w:p>
      <w:pPr>
        <w:pStyle w:val="ListBullet"/>
      </w:pPr>
      <w:r>
        <w:t>Multi-cuenta de correo; contenedor de documentos por área + categorías + tratamiento.</w:t>
      </w:r>
    </w:p>
    <w:p>
      <w:pPr>
        <w:pStyle w:val="ListBullet"/>
      </w:pPr>
      <w:r>
        <w:t>Memoria + etiquetas; Notebooks; Flujogramas navegables; Generar imágenes.</w:t>
      </w:r>
    </w:p>
    <w:p>
      <w:pPr>
        <w:pStyle w:val="ListBullet"/>
      </w:pPr>
      <w:r>
        <w:t>Conectores legados (BD de solo lectura, CSV) → RAG; «ojito» de secretos auditado.</w:t>
      </w:r>
    </w:p>
    <w:p>
      <w:pPr>
        <w:pStyle w:val="ListBullet"/>
      </w:pPr>
      <w:r>
        <w:t>Verificación de proveedor (Probar conexión); Ayuda in-app + ayuda contextual (popup).</w:t>
      </w:r>
    </w:p>
    <w:p>
      <w:pPr>
        <w:pStyle w:val="ListBullet"/>
      </w:pPr>
      <w:r>
        <w:t>Pipeline dev → qa → main con CI (pytest + build) y bitácora (CHANGELOG).</w:t>
      </w:r>
    </w:p>
    <w:p>
      <w:pPr>
        <w:pStyle w:val="Heading1"/>
      </w:pPr>
      <w:r>
        <w:t>4. Casos de uso por área (vista técnica)</w:t>
      </w:r>
    </w:p>
    <w:p>
      <w:pPr>
        <w:pStyle w:val="Heading2"/>
      </w:pPr>
      <w:r>
        <w:t>Ventas</w:t>
      </w:r>
    </w:p>
    <w:p>
      <w:pPr>
        <w:pStyle w:val="Heading3"/>
      </w:pPr>
      <w:r>
        <w:t>Propuesta comercial en minutos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Generar una propuesta lista para enviar a partir de datos mínimos.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Casos de uso · RAG (categoría propuesta_comercial) · Export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De horas a minutos, con marca y datos citados.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Casos de uso → Propuesta comercial.</w:t>
      </w:r>
    </w:p>
    <w:p>
      <w:pPr>
        <w:pStyle w:val="ListNumber"/>
      </w:pPr>
      <w:r>
        <w:t>Pon cliente, servicio, monto y notas.</w:t>
      </w:r>
    </w:p>
    <w:p>
      <w:pPr>
        <w:pStyle w:val="ListNumber"/>
      </w:pPr>
      <w:r>
        <w:t>Revisa el borrador (cita propuestas previas del RAG) y aprueba.</w:t>
      </w:r>
    </w:p>
    <w:p>
      <w:pPr>
        <w:pStyle w:val="ListNumber"/>
      </w:pPr>
      <w:r>
        <w:t>Descarga en Word/PDF.</w:t>
      </w:r>
    </w:p>
    <w:p>
      <w:pPr>
        <w:pStyle w:val="Heading3"/>
      </w:pPr>
      <w:r>
        <w:t>Resumen de correo y agenda del día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Empezar el día con lo importante de la bandeja y el calendario.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Toolkit lecturas (correo/calendar) · Router de privacidad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Menos tiempo en bandeja, foco en lo que vende.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Conectar correo (Outlook/Gmail).</w:t>
      </w:r>
    </w:p>
    <w:p>
      <w:pPr>
        <w:pStyle w:val="ListNumber"/>
      </w:pPr>
      <w:r>
        <w:t>Casos de uso → Resumen de correo y agenda.</w:t>
      </w:r>
    </w:p>
    <w:p>
      <w:pPr>
        <w:pStyle w:val="ListNumber"/>
      </w:pPr>
      <w:r>
        <w:t>Genera el resumen (PII redactada) y descárgalo.</w:t>
      </w:r>
    </w:p>
    <w:p>
      <w:pPr>
        <w:pStyle w:val="Heading3"/>
      </w:pPr>
      <w:r>
        <w:t>Responder una licitación/RFP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Construir el borrador de respuesta a unas bases.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Notebooks · RAG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Respuestas completas y trazables a las bases.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Notebooks → nuevo; sube las bases.</w:t>
      </w:r>
    </w:p>
    <w:p>
      <w:pPr>
        <w:pStyle w:val="ListNumber"/>
      </w:pPr>
      <w:r>
        <w:t>Genera FAQ y borrador de respuesta citando las bases.</w:t>
      </w:r>
    </w:p>
    <w:p>
      <w:pPr>
        <w:pStyle w:val="ListNumber"/>
      </w:pPr>
      <w:r>
        <w:t>Pasa el borrador a un caso de uso para el entregable final.</w:t>
      </w:r>
    </w:p>
    <w:p>
      <w:pPr>
        <w:pStyle w:val="Heading3"/>
      </w:pPr>
      <w:r>
        <w:t>Seguimiento: correo + alta de lead en CRM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Enviar el follow-up y registrar el lead sin salir de la plataforma.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Toolkit de acciones (aprobación) · Conectores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Cero doble captura; todo auditado.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Acciones → Enviar correo (Outlook/Gmail) → aprobar.</w:t>
      </w:r>
    </w:p>
    <w:p>
      <w:pPr>
        <w:pStyle w:val="ListNumber"/>
      </w:pPr>
      <w:r>
        <w:t>Integraciones → Conector HubSpot/Salesforce → enviar el lead.</w:t>
      </w:r>
    </w:p>
    <w:p>
      <w:pPr>
        <w:pStyle w:val="Heading2"/>
      </w:pPr>
      <w:r>
        <w:t>Recursos Humanos</w:t>
      </w:r>
    </w:p>
    <w:p>
      <w:pPr>
        <w:pStyle w:val="Heading3"/>
      </w:pPr>
      <w:r>
        <w:t>Cartas y contratos laborales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Generar oferta, carta o contrato con plantilla y datos del colaborador.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Casos de uso · Export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Documentos consistentes y con marca.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Casos de uso → Carta/Contrato.</w:t>
      </w:r>
    </w:p>
    <w:p>
      <w:pPr>
        <w:pStyle w:val="ListNumber"/>
      </w:pPr>
      <w:r>
        <w:t>Llena los datos; revisa y aprueba.</w:t>
      </w:r>
    </w:p>
    <w:p>
      <w:pPr>
        <w:pStyle w:val="ListNumber"/>
      </w:pPr>
      <w:r>
        <w:t>Descarga en Word/PDF.</w:t>
      </w:r>
    </w:p>
    <w:p>
      <w:pPr>
        <w:pStyle w:val="Heading3"/>
      </w:pPr>
      <w:r>
        <w:t>Consultas de políticas internas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Responder dudas del personal con base en el reglamento e ISO.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RAG por área · Chat con fuentes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Respuestas correctas y citadas, sin abrir manuales.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Documentos → sube reglamento/políticas (área RH).</w:t>
      </w:r>
    </w:p>
    <w:p>
      <w:pPr>
        <w:pStyle w:val="ListNumber"/>
      </w:pPr>
      <w:r>
        <w:t>Chat con fuentes → elegir documentos → pregunta.</w:t>
      </w:r>
    </w:p>
    <w:p>
      <w:pPr>
        <w:pStyle w:val="ListNumber"/>
      </w:pPr>
      <w:r>
        <w:t>La respuesta cita el documento exacto.</w:t>
      </w:r>
    </w:p>
    <w:p>
      <w:pPr>
        <w:pStyle w:val="Heading3"/>
      </w:pPr>
      <w:r>
        <w:t>Criba y resumen de CVs (con privacidad)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Resumir y comparar CVs respetando datos personales.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Router de privacidad (PII) · RAG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Agiliza reclutamiento sin exponer PII a la nube.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Documentos → sube los CVs (el router los trata como confidenciales/PII).</w:t>
      </w:r>
    </w:p>
    <w:p>
      <w:pPr>
        <w:pStyle w:val="ListNumber"/>
      </w:pPr>
      <w:r>
        <w:t>Chat con fuentes → pide un resumen comparativo.</w:t>
      </w:r>
    </w:p>
    <w:p>
      <w:pPr>
        <w:pStyle w:val="Heading3"/>
      </w:pPr>
      <w:r>
        <w:t>Onboarding automatizado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Disparar el checklist y la comunicación al alta de un colaborador.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Automatizaciones · n8n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Onboarding uniforme y sin olvidos.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Automatizaciones → plantilla de onboarding.</w:t>
      </w:r>
    </w:p>
    <w:p>
      <w:pPr>
        <w:pStyle w:val="ListNumber"/>
      </w:pPr>
      <w:r>
        <w:t>Acción: notificar / workflow n8n / correo.</w:t>
      </w:r>
    </w:p>
    <w:p>
      <w:pPr>
        <w:pStyle w:val="Heading2"/>
      </w:pPr>
      <w:r>
        <w:t>Finanzas</w:t>
      </w:r>
    </w:p>
    <w:p>
      <w:pPr>
        <w:pStyle w:val="Heading3"/>
      </w:pPr>
      <w:r>
        <w:t>Reporte financiero / análisis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Generar un reporte a partir de cifras y notas.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Fuentes de datos (BD/CSV) · Casos de uso · Export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Reportes con datos reales y formato listo.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Importar CSV/BD con las cifras (al RAG).</w:t>
      </w:r>
    </w:p>
    <w:p>
      <w:pPr>
        <w:pStyle w:val="ListNumber"/>
      </w:pPr>
      <w:r>
        <w:t>Casos de uso → Reporte; aprueba.</w:t>
      </w:r>
    </w:p>
    <w:p>
      <w:pPr>
        <w:pStyle w:val="ListNumber"/>
      </w:pPr>
      <w:r>
        <w:t>Exporta a XLSX/PDF.</w:t>
      </w:r>
    </w:p>
    <w:p>
      <w:pPr>
        <w:pStyle w:val="Heading3"/>
      </w:pPr>
      <w:r>
        <w:t>Consultar datos de un sistema legado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Preguntar sobre datos de un ERP/BD sin API moderna.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Conector BD de solo lectura · RAG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Acceso a datos legados sin riesgo de escritura.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Fuentes de datos → DSN + SELECT (solo lectura) → Importar.</w:t>
      </w:r>
    </w:p>
    <w:p>
      <w:pPr>
        <w:pStyle w:val="ListNumber"/>
      </w:pPr>
      <w:r>
        <w:t>Chat con fuentes → pregunta sobre esos datos.</w:t>
      </w:r>
    </w:p>
    <w:p>
      <w:pPr>
        <w:pStyle w:val="Heading3"/>
      </w:pPr>
      <w:r>
        <w:t>Cobranza semanal automatizada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Recordatorios y reporte de cobranza cada semana.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Automatizaciones (programadas)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Proceso recurrente sin intervención.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Automatizaciones → programada (semanal).</w:t>
      </w:r>
    </w:p>
    <w:p>
      <w:pPr>
        <w:pStyle w:val="ListNumber"/>
      </w:pPr>
      <w:r>
        <w:t>Acción: workflow/conector/correo.</w:t>
      </w:r>
    </w:p>
    <w:p>
      <w:pPr>
        <w:pStyle w:val="Heading3"/>
      </w:pPr>
      <w:r>
        <w:t>Datos sensibles siempre protegidos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Garantizar que CLABE/tarjetas no salgan a la nube.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Router de privacidad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Cumplimiento y tranquilidad por diseño.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Trabaja normal; el router detecta PII financiera y la mantiene en ruta privada.</w:t>
      </w:r>
    </w:p>
    <w:p>
      <w:pPr>
        <w:pStyle w:val="ListNumber"/>
      </w:pPr>
      <w:r>
        <w:t>Verifica la ruta en el banner y en Auditoría.</w:t>
      </w:r>
    </w:p>
    <w:p>
      <w:pPr>
        <w:pStyle w:val="Heading2"/>
      </w:pPr>
      <w:r>
        <w:t>Operaciones</w:t>
      </w:r>
    </w:p>
    <w:p>
      <w:pPr>
        <w:pStyle w:val="Heading3"/>
      </w:pPr>
      <w:r>
        <w:t>Reporte de operación / KPIs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Ver y reportar el pulso operativo.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Tableros · Casos de uso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Decisiones con datos en vivo.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Tableros → describe qué medir; agrega widgets en vivo.</w:t>
      </w:r>
    </w:p>
    <w:p>
      <w:pPr>
        <w:pStyle w:val="ListNumber"/>
      </w:pPr>
      <w:r>
        <w:t>Casos de uso → Reporte de operación; exporta.</w:t>
      </w:r>
    </w:p>
    <w:p>
      <w:pPr>
        <w:pStyle w:val="Heading3"/>
      </w:pPr>
      <w:r>
        <w:t>Procedimientos (SOP) con IA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Consultar y resumir manuales y procedimientos.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Notebooks · RAG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Conocimiento operativo accesible al instante.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Notebooks → sube los SOP.</w:t>
      </w:r>
    </w:p>
    <w:p>
      <w:pPr>
        <w:pStyle w:val="ListNumber"/>
      </w:pPr>
      <w:r>
        <w:t>Genera una guía o pregunta con cita.</w:t>
      </w:r>
    </w:p>
    <w:p>
      <w:pPr>
        <w:pStyle w:val="Heading3"/>
      </w:pPr>
      <w:r>
        <w:t>Alertas por evento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Reaccionar cuando ocurre algo (p. ej. documento crítico).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Automatizaciones · Webhooks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Respuesta inmediata a eventos clave.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Automatizaciones → disparador por evento (document_uploaded) o webhook entrante.</w:t>
      </w:r>
    </w:p>
    <w:p>
      <w:pPr>
        <w:pStyle w:val="ListNumber"/>
      </w:pPr>
      <w:r>
        <w:t>Acción: notificar / workflow.</w:t>
      </w:r>
    </w:p>
    <w:p>
      <w:pPr>
        <w:pStyle w:val="Heading3"/>
      </w:pPr>
      <w:r>
        <w:t>Integrar sistemas propios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Conectar herramientas a la medida sin API moderna.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Conectores · n8n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Orquestación con el ecosistema existente.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Integraciones → Conector REST / Webhook / n8n.</w:t>
      </w:r>
    </w:p>
    <w:p>
      <w:pPr>
        <w:pStyle w:val="ListNumber"/>
      </w:pPr>
      <w:r>
        <w:t>Prueba y conéctalo a una automatización.</w:t>
      </w:r>
    </w:p>
    <w:p>
      <w:pPr>
        <w:pStyle w:val="Heading2"/>
      </w:pPr>
      <w:r>
        <w:t>Proyectos</w:t>
      </w:r>
    </w:p>
    <w:p>
      <w:pPr>
        <w:pStyle w:val="Heading3"/>
      </w:pPr>
      <w:r>
        <w:t>Generar un SOW / enunciado de trabajo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Crear un SOW metodológico a partir del input comercial.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Agente Proposal/SOW · Workflow SOW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SOWs consistentes y rápidos.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Agentes → Proposal/SOW.</w:t>
      </w:r>
    </w:p>
    <w:p>
      <w:pPr>
        <w:pStyle w:val="ListNumber"/>
      </w:pPr>
      <w:r>
        <w:t>Da el contexto; revisa y exporta a PDF/Word.</w:t>
      </w:r>
    </w:p>
    <w:p>
      <w:pPr>
        <w:pStyle w:val="Heading3"/>
      </w:pPr>
      <w:r>
        <w:t>Briefing y cronología del proyecto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Resumir documentos del proyecto en artefactos útiles.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Notebooks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Arranque y handoff de proyecto más claros.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Notebooks → sube los documentos del proyecto.</w:t>
      </w:r>
    </w:p>
    <w:p>
      <w:pPr>
        <w:pStyle w:val="ListNumber"/>
      </w:pPr>
      <w:r>
        <w:t>Genera briefing y cronología.</w:t>
      </w:r>
    </w:p>
    <w:p>
      <w:pPr>
        <w:pStyle w:val="Heading3"/>
      </w:pPr>
      <w:r>
        <w:t>Diagnóstico y roadmap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Evaluar (p. ej. ciberseguridad) y proponer un plan.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Agente Cyber Diagnostic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Diagnóstico ejecutivo accionable.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Agentes → Cyber Diagnostic (u otro).</w:t>
      </w:r>
    </w:p>
    <w:p>
      <w:pPr>
        <w:pStyle w:val="ListNumber"/>
      </w:pPr>
      <w:r>
        <w:t>Responde el cuestionario; obtén riesgos + roadmap.</w:t>
      </w:r>
    </w:p>
    <w:p>
      <w:pPr>
        <w:pStyle w:val="Heading3"/>
      </w:pPr>
      <w:r>
        <w:t>Seguimiento: eventos y tareas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Agendar y dar seguimiento desde la plataforma.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Toolkit de acciones · Conectores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Menos saltos entre apps.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Acciones → Crear evento (Calendar) → aprobar.</w:t>
      </w:r>
    </w:p>
    <w:p>
      <w:pPr>
        <w:pStyle w:val="ListNumber"/>
      </w:pPr>
      <w:r>
        <w:t>Conector para crear tareas en tu herramienta.</w:t>
      </w:r>
    </w:p>
    <w:p>
      <w:pPr>
        <w:pStyle w:val="Heading2"/>
      </w:pPr>
      <w:r>
        <w:t>Dirección General</w:t>
      </w:r>
    </w:p>
    <w:p>
      <w:pPr>
        <w:pStyle w:val="Heading3"/>
      </w:pPr>
      <w:r>
        <w:t>Resumen ejecutivo y tableros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Ver uso, costo, riesgos y documentos en un vistazo.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Dashboard · Tableros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Visión 360 del negocio y de la IA.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Resumen → panel ejecutivo.</w:t>
      </w:r>
    </w:p>
    <w:p>
      <w:pPr>
        <w:pStyle w:val="ListNumber"/>
      </w:pPr>
      <w:r>
        <w:t>Tableros → costo por ruta de modelo, casos por receta, etc.</w:t>
      </w:r>
    </w:p>
    <w:p>
      <w:pPr>
        <w:pStyle w:val="Heading3"/>
      </w:pPr>
      <w:r>
        <w:t>Auditoría y cumplimiento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Demostrar control y trazabilidad ante auditoría.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Auditoría · Export SIEM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Evidencia para cumplimiento (LFPDPPP).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Auditoría → filtra por riesgo/ruta/usuario.</w:t>
      </w:r>
    </w:p>
    <w:p>
      <w:pPr>
        <w:pStyle w:val="ListNumber"/>
      </w:pPr>
      <w:r>
        <w:t>Export SIEM (JSONL).</w:t>
      </w:r>
    </w:p>
    <w:p>
      <w:pPr>
        <w:pStyle w:val="Heading3"/>
      </w:pPr>
      <w:r>
        <w:t>Decidir con memoria de trabajos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Retomar y construir sobre trabajos previos.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Memoria + tags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Continuidad y aprovechamiento del conocimiento.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Memoria → busca por tag/tema.</w:t>
      </w:r>
    </w:p>
    <w:p>
      <w:pPr>
        <w:pStyle w:val="ListNumber"/>
      </w:pPr>
      <w:r>
        <w:t>Chat → activa «Usar memoria».</w:t>
      </w:r>
    </w:p>
    <w:p>
      <w:pPr>
        <w:pStyle w:val="Heading3"/>
      </w:pPr>
      <w:r>
        <w:t>Control del costo de IA</w:t>
      </w:r>
    </w:p>
    <w:p>
      <w:r>
        <w:rPr>
          <w:b/>
          <w:color w:val="6D28D9"/>
          <w:sz w:val="21"/>
        </w:rPr>
        <w:t xml:space="preserve">Objetivo: </w:t>
      </w:r>
      <w:r>
        <w:rPr>
          <w:color w:val="334155"/>
          <w:sz w:val="21"/>
        </w:rPr>
        <w:t>Mantener el gasto bajo control sin perder calidad.</w:t>
      </w:r>
    </w:p>
    <w:p>
      <w:r>
        <w:rPr>
          <w:b/>
          <w:color w:val="6D28D9"/>
          <w:sz w:val="21"/>
        </w:rPr>
        <w:t xml:space="preserve">Módulo / ruta: </w:t>
      </w:r>
      <w:r>
        <w:rPr>
          <w:color w:val="334155"/>
          <w:sz w:val="21"/>
        </w:rPr>
        <w:t>Eficiencia · Cascada</w:t>
      </w:r>
    </w:p>
    <w:p>
      <w:r>
        <w:rPr>
          <w:b/>
          <w:color w:val="6D28D9"/>
          <w:sz w:val="21"/>
        </w:rPr>
        <w:t xml:space="preserve">Valor: </w:t>
      </w:r>
      <w:r>
        <w:rPr>
          <w:color w:val="334155"/>
          <w:sz w:val="21"/>
        </w:rPr>
        <w:t>Costo predecible; premium solo cuando aporta.</w:t>
      </w:r>
    </w:p>
    <w:p>
      <w:r>
        <w:rPr>
          <w:b/>
          <w:i w:val="0"/>
          <w:color w:val="6D28D9"/>
          <w:sz w:val="21"/>
        </w:rPr>
        <w:t>Pasos:</w:t>
      </w:r>
    </w:p>
    <w:p>
      <w:pPr>
        <w:pStyle w:val="ListNumber"/>
      </w:pPr>
      <w:r>
        <w:t>Admin → Eficiencia: tope de gasto, condensación, rerank.</w:t>
      </w:r>
    </w:p>
    <w:p>
      <w:pPr>
        <w:pStyle w:val="ListNumber"/>
      </w:pPr>
      <w:r>
        <w:t>Cascada: premium solo a demanda.</w:t>
      </w:r>
    </w:p>
    <w:p>
      <w:pPr>
        <w:pStyle w:val="Heading1"/>
      </w:pPr>
      <w:r>
        <w:t>5. Pendientes por construir (especificación v2)</w:t>
      </w:r>
    </w:p>
    <w:p>
      <w:pPr>
        <w:pStyle w:val="Heading2"/>
      </w:pPr>
      <w:r>
        <w:t>OCR de escaneados (completar ingesta avanzada)</w:t>
      </w:r>
    </w:p>
    <w:p>
      <w:r>
        <w:rPr>
          <w:b/>
          <w:color w:val="6D28D9"/>
          <w:sz w:val="21"/>
        </w:rPr>
        <w:t xml:space="preserve">Qué: </w:t>
      </w:r>
      <w:r>
        <w:rPr>
          <w:color w:val="334155"/>
          <w:sz w:val="21"/>
        </w:rPr>
        <w:t>Aplicar OCR a PDFs escaneados sin capa de texto (el antivirus en la ingesta ya quedó hecho).</w:t>
      </w:r>
    </w:p>
    <w:p>
      <w:r>
        <w:rPr>
          <w:b/>
          <w:color w:val="6D28D9"/>
          <w:sz w:val="21"/>
        </w:rPr>
        <w:t xml:space="preserve">Por qué: </w:t>
      </w:r>
      <w:r>
        <w:rPr>
          <w:color w:val="334155"/>
          <w:sz w:val="21"/>
        </w:rPr>
        <w:t>Completa «upload → antivirus → OCR si aplica → clasificación» del blueprint.</w:t>
      </w:r>
    </w:p>
    <w:p>
      <w:r>
        <w:rPr>
          <w:b/>
          <w:color w:val="6D28D9"/>
          <w:sz w:val="21"/>
        </w:rPr>
        <w:t xml:space="preserve">Cómo: </w:t>
      </w:r>
      <w:r>
        <w:rPr>
          <w:color w:val="334155"/>
          <w:sz w:val="21"/>
        </w:rPr>
        <w:t>pytesseract + pdf2image + binario tesseract (ya soportado de forma opcional en el código); instalar el binario en el contenedor para activarlo.</w:t>
      </w:r>
    </w:p>
    <w:p>
      <w:r>
        <w:rPr>
          <w:b/>
          <w:color w:val="64748B"/>
          <w:sz w:val="21"/>
        </w:rPr>
        <w:t xml:space="preserve">Dependencias: </w:t>
      </w:r>
      <w:r>
        <w:rPr>
          <w:color w:val="334155"/>
          <w:sz w:val="21"/>
        </w:rPr>
        <w:t>tesseract-ocr, poppler, pytesseract, pdf2image.</w:t>
      </w:r>
    </w:p>
    <w:p>
      <w:pPr>
        <w:pStyle w:val="Heading2"/>
      </w:pPr>
      <w:r>
        <w:t>MFA (multi-factor) — TOTP</w:t>
      </w:r>
    </w:p>
    <w:p>
      <w:r>
        <w:rPr>
          <w:b/>
          <w:color w:val="6D28D9"/>
          <w:sz w:val="21"/>
        </w:rPr>
        <w:t xml:space="preserve">Qué: </w:t>
      </w:r>
      <w:r>
        <w:rPr>
          <w:color w:val="334155"/>
          <w:sz w:val="21"/>
        </w:rPr>
        <w:t>Segundo factor en el login (app autenticadora) con enrolamiento, verificación y códigos de respaldo.</w:t>
      </w:r>
    </w:p>
    <w:p>
      <w:r>
        <w:rPr>
          <w:b/>
          <w:color w:val="6D28D9"/>
          <w:sz w:val="21"/>
        </w:rPr>
        <w:t xml:space="preserve">Por qué: </w:t>
      </w:r>
      <w:r>
        <w:rPr>
          <w:color w:val="334155"/>
          <w:sz w:val="21"/>
        </w:rPr>
        <w:t>El blueprint incluye «RBAC + MFA». El modelo ya tiene el campo mfa_enabled; falta el flujo.</w:t>
      </w:r>
    </w:p>
    <w:p>
      <w:r>
        <w:rPr>
          <w:b/>
          <w:color w:val="6D28D9"/>
          <w:sz w:val="21"/>
        </w:rPr>
        <w:t xml:space="preserve">Cómo: </w:t>
      </w:r>
      <w:r>
        <w:rPr>
          <w:color w:val="334155"/>
          <w:sz w:val="21"/>
        </w:rPr>
        <w:t>pyotp (TOTP) + QR de enrolamiento; reto de MFA tras la contraseña cuando mfa_enabled=true; códigos de recuperación cifrados.</w:t>
      </w:r>
    </w:p>
    <w:p>
      <w:r>
        <w:rPr>
          <w:b/>
          <w:color w:val="64748B"/>
          <w:sz w:val="21"/>
        </w:rPr>
        <w:t xml:space="preserve">Dependencias: </w:t>
      </w:r>
      <w:r>
        <w:rPr>
          <w:color w:val="334155"/>
          <w:sz w:val="21"/>
        </w:rPr>
        <w:t>pyotp (software puro).</w:t>
      </w:r>
    </w:p>
    <w:p>
      <w:pPr>
        <w:pStyle w:val="Heading2"/>
      </w:pPr>
      <w:r>
        <w:t>Fine-tuning ligero (LoRA)</w:t>
      </w:r>
    </w:p>
    <w:p>
      <w:r>
        <w:rPr>
          <w:b/>
          <w:color w:val="6D28D9"/>
          <w:sz w:val="21"/>
        </w:rPr>
        <w:t xml:space="preserve">Qué: </w:t>
      </w:r>
      <w:r>
        <w:rPr>
          <w:color w:val="334155"/>
          <w:sz w:val="21"/>
        </w:rPr>
        <w:t>Pipeline de dataset → anonimización → versionado → entrenamiento LoRA → evals → red team → despliegue.</w:t>
      </w:r>
    </w:p>
    <w:p>
      <w:r>
        <w:rPr>
          <w:b/>
          <w:color w:val="6D28D9"/>
          <w:sz w:val="21"/>
        </w:rPr>
        <w:t xml:space="preserve">Por qué: </w:t>
      </w:r>
      <w:r>
        <w:rPr>
          <w:color w:val="334155"/>
          <w:sz w:val="21"/>
        </w:rPr>
        <w:t>Fase 5 del blueprint para comportamiento/formato repetitivo (no para conocimiento, que va por RAG).</w:t>
      </w:r>
    </w:p>
    <w:p>
      <w:r>
        <w:rPr>
          <w:b/>
          <w:color w:val="6D28D9"/>
          <w:sz w:val="21"/>
        </w:rPr>
        <w:t xml:space="preserve">Cómo: </w:t>
      </w:r>
      <w:r>
        <w:rPr>
          <w:color w:val="334155"/>
          <w:sz w:val="21"/>
        </w:rPr>
        <w:t>Servicio de entrenamiento (GPU) con registro de datasets y evaluaciones; integración como ruta de modelo.</w:t>
      </w:r>
    </w:p>
    <w:p>
      <w:r>
        <w:rPr>
          <w:b/>
          <w:color w:val="64748B"/>
          <w:sz w:val="21"/>
        </w:rPr>
        <w:t xml:space="preserve">Dependencias: </w:t>
      </w:r>
      <w:r>
        <w:rPr>
          <w:color w:val="334155"/>
          <w:sz w:val="21"/>
        </w:rPr>
        <w:t>Infraestructura GPU + framework de fine-tuning.</w:t>
      </w:r>
    </w:p>
    <w:p>
      <w:pPr>
        <w:pStyle w:val="Heading2"/>
      </w:pPr>
      <w:r>
        <w:t>Endurecimiento enterprise — TEE / mTLS / private endpoints</w:t>
      </w:r>
    </w:p>
    <w:p>
      <w:r>
        <w:rPr>
          <w:b/>
          <w:color w:val="6D28D9"/>
          <w:sz w:val="21"/>
        </w:rPr>
        <w:t xml:space="preserve">Qué: </w:t>
      </w:r>
      <w:r>
        <w:rPr>
          <w:color w:val="334155"/>
          <w:sz w:val="21"/>
        </w:rPr>
        <w:t>Confidential computing (TEE) para clientes regulados, mTLS entre servicios y endpoints privados.</w:t>
      </w:r>
    </w:p>
    <w:p>
      <w:r>
        <w:rPr>
          <w:b/>
          <w:color w:val="6D28D9"/>
          <w:sz w:val="21"/>
        </w:rPr>
        <w:t xml:space="preserve">Por qué: </w:t>
      </w:r>
      <w:r>
        <w:rPr>
          <w:color w:val="334155"/>
          <w:sz w:val="21"/>
        </w:rPr>
        <w:t>Fase 5: clientes regulados y VPC dedicada.</w:t>
      </w:r>
    </w:p>
    <w:p>
      <w:r>
        <w:rPr>
          <w:b/>
          <w:color w:val="6D28D9"/>
          <w:sz w:val="21"/>
        </w:rPr>
        <w:t xml:space="preserve">Cómo: </w:t>
      </w:r>
      <w:r>
        <w:rPr>
          <w:color w:val="334155"/>
          <w:sz w:val="21"/>
        </w:rPr>
        <w:t>Despliegue en VPC dedicada, mTLS entre servicios, enclaves/confidential VMs; no-retención contractual.</w:t>
      </w:r>
    </w:p>
    <w:p>
      <w:r>
        <w:rPr>
          <w:b/>
          <w:color w:val="64748B"/>
          <w:sz w:val="21"/>
        </w:rPr>
        <w:t xml:space="preserve">Dependencias: </w:t>
      </w:r>
      <w:r>
        <w:rPr>
          <w:color w:val="334155"/>
          <w:sz w:val="21"/>
        </w:rPr>
        <w:t>Infraestructura (nube/VPC) y contratos con proveedores.</w:t>
      </w:r>
    </w:p>
    <w:p>
      <w:pPr>
        <w:pStyle w:val="Heading1"/>
      </w:pPr>
      <w:r>
        <w:t>6. Guías de configuración (resumen)</w:t>
      </w:r>
    </w:p>
    <w:p>
      <w:pPr>
        <w:pStyle w:val="Heading3"/>
      </w:pPr>
      <w:r>
        <w:t>Microsoft 365 (Azure)</w:t>
      </w:r>
    </w:p>
    <w:p>
      <w:pPr>
        <w:pStyle w:val="ListNumber"/>
      </w:pPr>
      <w:r>
        <w:t>Azure → App registrations → New registration (cuentas org + personales).</w:t>
      </w:r>
    </w:p>
    <w:p>
      <w:pPr>
        <w:pStyle w:val="ListNumber"/>
      </w:pPr>
      <w:r>
        <w:t>Redirect URI Web: https://&lt;api&gt;/oauth/microsoft/callback.</w:t>
      </w:r>
    </w:p>
    <w:p>
      <w:pPr>
        <w:pStyle w:val="ListNumber"/>
      </w:pPr>
      <w:r>
        <w:t>Graph Delegated: User.Read, Mail.Read, Calendars.Read, offline_access (+ escritura: Mail.Send, Calendars.ReadWrite, ChannelMessage.Send, Files.ReadWrite.All, Sites.Read.All).</w:t>
      </w:r>
    </w:p>
    <w:p>
      <w:pPr>
        <w:pStyle w:val="ListNumber"/>
      </w:pPr>
      <w:r>
        <w:t>Crea client secret; pon MICROSOFT_* en Render; reconecta una vez.</w:t>
      </w:r>
    </w:p>
    <w:p>
      <w:pPr>
        <w:pStyle w:val="Heading3"/>
      </w:pPr>
      <w:r>
        <w:t>Google Workspace</w:t>
      </w:r>
    </w:p>
    <w:p>
      <w:pPr>
        <w:pStyle w:val="ListNumber"/>
      </w:pPr>
      <w:r>
        <w:t>Cloud Console → habilita Gmail/Calendar/Drive/Sheets API.</w:t>
      </w:r>
    </w:p>
    <w:p>
      <w:pPr>
        <w:pStyle w:val="ListNumber"/>
      </w:pPr>
      <w:r>
        <w:t>OAuth consent + scopes (readonly + gmail.send, spreadsheets).</w:t>
      </w:r>
    </w:p>
    <w:p>
      <w:pPr>
        <w:pStyle w:val="ListNumber"/>
      </w:pPr>
      <w:r>
        <w:t>OAuth client (Web) con redirect https://&lt;api&gt;/oauth/google/callback; pon GOOGLE_* en Render.</w:t>
      </w:r>
    </w:p>
    <w:p>
      <w:pPr>
        <w:pStyle w:val="Heading3"/>
      </w:pPr>
      <w:r>
        <w:t>NaN (open) y Premium</w:t>
      </w:r>
    </w:p>
    <w:p>
      <w:pPr>
        <w:pStyle w:val="ListNumber"/>
      </w:pPr>
      <w:r>
        <w:t>Admin → Modelos externos: Base URL + modelo + API key.</w:t>
      </w:r>
    </w:p>
    <w:p>
      <w:pPr>
        <w:pStyle w:val="ListNumber"/>
      </w:pPr>
      <w:r>
        <w:t>NaN: https://api.nan.builders/v1, modelo qwen3.6. Pulsa Probar conexión.</w:t>
      </w:r>
    </w:p>
    <w:p>
      <w:pPr>
        <w:pStyle w:val="ListNumber"/>
      </w:pPr>
      <w:r>
        <w:t>Premium: opcional, solo se usa como escalada (máxima precisión).</w:t>
      </w:r>
    </w:p>
    <w:p>
      <w:pPr>
        <w:pStyle w:val="Heading3"/>
      </w:pPr>
      <w:r>
        <w:t>Ollama (local privado)</w:t>
      </w:r>
    </w:p>
    <w:p>
      <w:pPr>
        <w:pStyle w:val="ListNumber"/>
      </w:pPr>
      <w:r>
        <w:t>Instala Ollama y descarga un modelo (LOCAL_MODEL).</w:t>
      </w:r>
    </w:p>
    <w:p>
      <w:pPr>
        <w:pStyle w:val="ListNumber"/>
      </w:pPr>
      <w:r>
        <w:t>Exponlo con URL pública (cloudflared en prueba; servidor HTTPS en prod).</w:t>
      </w:r>
    </w:p>
    <w:p>
      <w:pPr>
        <w:pStyle w:val="ListNumber"/>
      </w:pPr>
      <w:r>
        <w:t>Pon LOCAL_* en Render; ALLOW_CLOUD_FALLBACK=true mientras no haya local.</w:t>
      </w:r>
    </w:p>
    <w:p>
      <w:pPr>
        <w:pStyle w:val="Heading3"/>
      </w:pPr>
      <w:r>
        <w:t>n8n / Rerank / Ramas</w:t>
      </w:r>
    </w:p>
    <w:p>
      <w:pPr>
        <w:pStyle w:val="ListNumber"/>
      </w:pPr>
      <w:r>
        <w:t>n8n: Admin → n8n (Webhook Base URL + API key) o N8N_* en Render.</w:t>
      </w:r>
    </w:p>
    <w:p>
      <w:pPr>
        <w:pStyle w:val="ListNumber"/>
      </w:pPr>
      <w:r>
        <w:t>Rerank: Admin → Eficiencia → activar (requiere NaN).</w:t>
      </w:r>
    </w:p>
    <w:p>
      <w:pPr>
        <w:pStyle w:val="ListNumber"/>
      </w:pPr>
      <w:r>
        <w:t>Proteger ramas: GitHub → Settings → Branches → ruleset en main y qa (PR + checks).</w:t>
      </w:r>
    </w:p>
    <w:p>
      <w:r>
        <w:rPr>
          <w:b w:val="0"/>
          <w:i/>
          <w:color w:val="64748B"/>
          <w:sz w:val="21"/>
        </w:rPr>
        <w:t>El detalle completo de variables de entorno está en el manual técnico extendido (MaestroAI-Documentacion.docx) y en docs/*.md.</w:t>
      </w:r>
    </w:p>
    <w:p>
      <w:pPr>
        <w:pStyle w:val="Heading1"/>
      </w:pPr>
      <w:r>
        <w:t>7. Seguridad y cumplimiento</w:t>
      </w:r>
    </w:p>
    <w:p>
      <w:pPr>
        <w:pStyle w:val="ListBullet"/>
      </w:pPr>
      <w:r>
        <w:t>Cifrado AES-256-GCM por tenant; redacción de PII; minimización de contexto.</w:t>
      </w:r>
    </w:p>
    <w:p>
      <w:pPr>
        <w:pStyle w:val="ListBullet"/>
      </w:pPr>
      <w:r>
        <w:t>Auditoría total con export a SIEM (JSONL); permisos por área y licencia.</w:t>
      </w:r>
    </w:p>
    <w:p>
      <w:pPr>
        <w:pStyle w:val="ListBullet"/>
      </w:pPr>
      <w:r>
        <w:t>Aislamiento multi-tenant; endurecimiento (denylist DML/CTE, escapado OData, config solo super admin).</w:t>
      </w:r>
    </w:p>
    <w:p>
      <w:pPr>
        <w:pStyle w:val="ListBullet"/>
      </w:pPr>
      <w:r>
        <w:t>Cumplimiento de referencia: LFPDPPP, OWASP Top 10 LLM 2025, NIST AI RMF.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D28D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D28D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