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
      <w:pPr>
        <w:jc w:val="center"/>
      </w:pPr>
      <w:r>
        <w:rPr>
          <w:b/>
          <w:color w:val="6D28D9"/>
          <w:sz w:val="92"/>
        </w:rPr>
        <w:t>MaestroAI</w:t>
      </w:r>
    </w:p>
    <w:p>
      <w:pPr>
        <w:jc w:val="center"/>
      </w:pPr>
      <w:r>
        <w:rPr>
          <w:color w:val="334155"/>
          <w:sz w:val="40"/>
        </w:rPr>
        <w:t>Documentación técnica y funcional</w:t>
      </w:r>
    </w:p>
    <w:p>
      <w:pPr>
        <w:jc w:val="center"/>
      </w:pPr>
      <w:r>
        <w:rPr>
          <w:color w:val="64748B"/>
          <w:sz w:val="24"/>
        </w:rPr>
        <w:t>Plataforma de IA privada y gobernada (Private AI Gateway + agentes verticales)</w:t>
      </w:r>
    </w:p>
    <w:p>
      <w:pPr>
        <w:jc w:val="center"/>
      </w:pPr>
      <w:r>
        <w:rPr>
          <w:i/>
        </w:rPr>
        <w:t>Versión 2026 · Documento confidencial</w:t>
      </w:r>
    </w:p>
    <w:p>
      <w:r>
        <w:br w:type="page"/>
      </w:r>
    </w:p>
    <w:p>
      <w:pPr>
        <w:pStyle w:val="Heading1"/>
      </w:pPr>
      <w:r>
        <w:t>1. Introducción y propuesta de valor</w:t>
      </w:r>
    </w:p>
    <w:p>
      <w:r>
        <w:rPr>
          <w:b w:val="0"/>
          <w:i w:val="0"/>
          <w:color w:val="334155"/>
          <w:sz w:val="21"/>
        </w:rPr>
        <w:t>MaestroAI no es «otro ChatGPT»: es una capa privada y gobernada sobre la IA, pensada para empresas de LATAM que necesitan aprovechar modelos de lenguaje sin exponer datos sensibles ni perder control ni trazabilidad. El diferenciador central es el Enrutador de Privacidad (Privacy Model Router): por cada dato que se procesa, la plataforma clasifica su sensibilidad, detecta PII, minimiza y redacta, y decide automáticamente la ruta del modelo (local, VPC, abierto o premium) o lo bloquea — todo auditado.</w:t>
      </w:r>
    </w:p>
    <w:p>
      <w:r>
        <w:rPr>
          <w:b w:val="0"/>
          <w:i w:val="0"/>
          <w:color w:val="334155"/>
          <w:sz w:val="21"/>
        </w:rPr>
        <w:t>Sobre esa base corren capacidades verticales: RAG documental por área, casos de uso que generan entregables, agentes especializados, notebooks, automatizaciones e integraciones con las herramientas que la empresa ya usa (Google Workspace, Microsoft 365, CRM/ERP, n8n).</w:t>
      </w:r>
    </w:p>
    <w:p>
      <w:pPr>
        <w:pStyle w:val="Heading2"/>
      </w:pPr>
      <w:r>
        <w:t>Principios de diseño</w:t>
      </w:r>
    </w:p>
    <w:p>
      <w:pPr>
        <w:pStyle w:val="ListBullet"/>
      </w:pPr>
      <w:r>
        <w:rPr>
          <w:b/>
        </w:rPr>
        <w:t xml:space="preserve">Privacidad por defecto: </w:t>
      </w:r>
      <w:r>
        <w:t>el usuario nunca elige el modelo; lo decide la política.</w:t>
      </w:r>
    </w:p>
    <w:p>
      <w:pPr>
        <w:pStyle w:val="ListBullet"/>
      </w:pPr>
      <w:r>
        <w:rPr>
          <w:b/>
        </w:rPr>
        <w:t xml:space="preserve">Trazabilidad total: </w:t>
      </w:r>
      <w:r>
        <w:t>cada acción y ruteo queda auditado con su razón.</w:t>
      </w:r>
    </w:p>
    <w:p>
      <w:pPr>
        <w:pStyle w:val="ListBullet"/>
      </w:pPr>
      <w:r>
        <w:rPr>
          <w:b/>
        </w:rPr>
        <w:t xml:space="preserve">Costo bajo control: </w:t>
      </w:r>
      <w:r>
        <w:t>NaN-primero, condensación de contexto y tope de gasto.</w:t>
      </w:r>
    </w:p>
    <w:p>
      <w:pPr>
        <w:pStyle w:val="ListBullet"/>
      </w:pPr>
      <w:r>
        <w:rPr>
          <w:b/>
        </w:rPr>
        <w:t xml:space="preserve">Gobernanza por área y licencia: </w:t>
      </w:r>
      <w:r>
        <w:t>cada quien ve solo lo que le corresponde.</w:t>
      </w:r>
    </w:p>
    <w:p>
      <w:pPr>
        <w:pStyle w:val="ListBullet"/>
      </w:pPr>
      <w:r>
        <w:rPr>
          <w:b/>
        </w:rPr>
        <w:t xml:space="preserve">Extensible: </w:t>
      </w:r>
      <w:r>
        <w:t>API pública, conectores, webhooks y n8n para todo lo demás.</w:t>
      </w:r>
    </w:p>
    <w:p>
      <w:pPr>
        <w:pStyle w:val="Heading1"/>
      </w:pPr>
      <w:r>
        <w:t>2. Glosario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Término</w:t>
            </w:r>
          </w:p>
        </w:tc>
        <w:tc>
          <w:tcPr>
            <w:tcW w:type="dxa" w:w="4320"/>
          </w:tcPr>
          <w:p>
            <w:r>
              <w:rPr>
                <w:b/>
                <w:sz w:val="19"/>
              </w:rPr>
              <w:t>Definición</w:t>
            </w:r>
          </w:p>
        </w:tc>
      </w:tr>
      <w:tr>
        <w:tc>
          <w:tcPr>
            <w:tcW w:type="dxa" w:w="4320"/>
          </w:tcPr>
          <w:p>
            <w:r>
              <w:rPr>
                <w:sz w:val="18"/>
              </w:rPr>
              <w:t>Tenant</w:t>
            </w:r>
          </w:p>
        </w:tc>
        <w:tc>
          <w:tcPr>
            <w:tcW w:type="dxa" w:w="4320"/>
          </w:tcPr>
          <w:p>
            <w:r>
              <w:rPr>
                <w:sz w:val="18"/>
              </w:rPr>
              <w:t>Una empresa/organización aislada dentro de la plataforma (multi-tenant).</w:t>
            </w:r>
          </w:p>
        </w:tc>
      </w:tr>
      <w:tr>
        <w:tc>
          <w:tcPr>
            <w:tcW w:type="dxa" w:w="4320"/>
          </w:tcPr>
          <w:p>
            <w:r>
              <w:rPr>
                <w:sz w:val="18"/>
              </w:rPr>
              <w:t>Router de privacidad</w:t>
            </w:r>
          </w:p>
        </w:tc>
        <w:tc>
          <w:tcPr>
            <w:tcW w:type="dxa" w:w="4320"/>
          </w:tcPr>
          <w:p>
            <w:r>
              <w:rPr>
                <w:sz w:val="18"/>
              </w:rPr>
              <w:t>Componente que clasifica y decide la ruta del modelo por cada petición.</w:t>
            </w:r>
          </w:p>
        </w:tc>
      </w:tr>
      <w:tr>
        <w:tc>
          <w:tcPr>
            <w:tcW w:type="dxa" w:w="4320"/>
          </w:tcPr>
          <w:p>
            <w:r>
              <w:rPr>
                <w:sz w:val="18"/>
              </w:rPr>
              <w:t>RAG</w:t>
            </w:r>
          </w:p>
        </w:tc>
        <w:tc>
          <w:tcPr>
            <w:tcW w:type="dxa" w:w="4320"/>
          </w:tcPr>
          <w:p>
            <w:r>
              <w:rPr>
                <w:sz w:val="18"/>
              </w:rPr>
              <w:t>Retrieval-Augmented Generation: recuperar fragmentos relevantes y responder citándolos.</w:t>
            </w:r>
          </w:p>
        </w:tc>
      </w:tr>
      <w:tr>
        <w:tc>
          <w:tcPr>
            <w:tcW w:type="dxa" w:w="4320"/>
          </w:tcPr>
          <w:p>
            <w:r>
              <w:rPr>
                <w:sz w:val="18"/>
              </w:rPr>
              <w:t>Rerank</w:t>
            </w:r>
          </w:p>
        </w:tc>
        <w:tc>
          <w:tcPr>
            <w:tcW w:type="dxa" w:w="4320"/>
          </w:tcPr>
          <w:p>
            <w:r>
              <w:rPr>
                <w:sz w:val="18"/>
              </w:rPr>
              <w:t>Reordenar candidatos del RAG por relevancia real con un cross-encoder.</w:t>
            </w:r>
          </w:p>
        </w:tc>
      </w:tr>
      <w:tr>
        <w:tc>
          <w:tcPr>
            <w:tcW w:type="dxa" w:w="4320"/>
          </w:tcPr>
          <w:p>
            <w:r>
              <w:rPr>
                <w:sz w:val="18"/>
              </w:rPr>
              <w:t>Cascada</w:t>
            </w:r>
          </w:p>
        </w:tc>
        <w:tc>
          <w:tcPr>
            <w:tcW w:type="dxa" w:w="4320"/>
          </w:tcPr>
          <w:p>
            <w:r>
              <w:rPr>
                <w:sz w:val="18"/>
              </w:rPr>
              <w:t>Borrador con modelo barato (NaN) y refinamiento premium a demanda.</w:t>
            </w:r>
          </w:p>
        </w:tc>
      </w:tr>
      <w:tr>
        <w:tc>
          <w:tcPr>
            <w:tcW w:type="dxa" w:w="4320"/>
          </w:tcPr>
          <w:p>
            <w:r>
              <w:rPr>
                <w:sz w:val="18"/>
              </w:rPr>
              <w:t>PII</w:t>
            </w:r>
          </w:p>
        </w:tc>
        <w:tc>
          <w:tcPr>
            <w:tcW w:type="dxa" w:w="4320"/>
          </w:tcPr>
          <w:p>
            <w:r>
              <w:rPr>
                <w:sz w:val="18"/>
              </w:rPr>
              <w:t>Información personal identificable (RFC, CURP, CLABE, tarjetas, correos, salud…).</w:t>
            </w:r>
          </w:p>
        </w:tc>
      </w:tr>
      <w:tr>
        <w:tc>
          <w:tcPr>
            <w:tcW w:type="dxa" w:w="4320"/>
          </w:tcPr>
          <w:p>
            <w:r>
              <w:rPr>
                <w:sz w:val="18"/>
              </w:rPr>
              <w:t>Ruta</w:t>
            </w:r>
          </w:p>
        </w:tc>
        <w:tc>
          <w:tcPr>
            <w:tcW w:type="dxa" w:w="4320"/>
          </w:tcPr>
          <w:p>
            <w:r>
              <w:rPr>
                <w:sz w:val="18"/>
              </w:rPr>
              <w:t>Destino de inferencia: local / VPC / open (NaN) / premium / bloqueado.</w:t>
            </w:r>
          </w:p>
        </w:tc>
      </w:tr>
      <w:tr>
        <w:tc>
          <w:tcPr>
            <w:tcW w:type="dxa" w:w="4320"/>
          </w:tcPr>
          <w:p>
            <w:r>
              <w:rPr>
                <w:sz w:val="18"/>
              </w:rPr>
              <w:t>Área / Licencia</w:t>
            </w:r>
          </w:p>
        </w:tc>
        <w:tc>
          <w:tcPr>
            <w:tcW w:type="dxa" w:w="4320"/>
          </w:tcPr>
          <w:p>
            <w:r>
              <w:rPr>
                <w:sz w:val="18"/>
              </w:rPr>
              <w:t>Dimensiones de permisos: qué documentos y contexto ve cada usuario.</w:t>
            </w:r>
          </w:p>
        </w:tc>
      </w:tr>
    </w:tbl>
    <w:p/>
    <w:p>
      <w:pPr>
        <w:pStyle w:val="Heading1"/>
      </w:pPr>
      <w:r>
        <w:t>3. Arquitectura general</w:t>
      </w:r>
    </w:p>
    <w:p>
      <w:r>
        <w:rPr>
          <w:b w:val="0"/>
          <w:i w:val="0"/>
          <w:color w:val="334155"/>
          <w:sz w:val="21"/>
        </w:rPr>
        <w:t>La plataforma es un monorepo con dos despliegues independientes:</w:t>
      </w:r>
    </w:p>
    <w:p>
      <w:pPr>
        <w:pStyle w:val="ListBullet"/>
      </w:pPr>
      <w:r>
        <w:rPr>
          <w:b/>
        </w:rPr>
        <w:t xml:space="preserve">Portal (Next.js 15 + Tailwind): </w:t>
      </w:r>
      <w:r>
        <w:t>alojado en Vercel; PWA instalable.</w:t>
      </w:r>
    </w:p>
    <w:p>
      <w:pPr>
        <w:pStyle w:val="ListBullet"/>
      </w:pPr>
      <w:r>
        <w:rPr>
          <w:b/>
        </w:rPr>
        <w:t xml:space="preserve">API (FastAPI + SQLModel): </w:t>
      </w:r>
      <w:r>
        <w:t>alojada en Render (Docker); Postgres (Supabase) en producción.</w:t>
      </w:r>
    </w:p>
    <w:p>
      <w:pPr>
        <w:pStyle w:val="ListBullet"/>
      </w:pPr>
      <w:r>
        <w:rPr>
          <w:b/>
        </w:rPr>
        <w:t xml:space="preserve">Almacén vectorial: </w:t>
      </w:r>
      <w:r>
        <w:t>in-process (por defecto) o Qdrant gestionado.</w:t>
      </w:r>
    </w:p>
    <w:p>
      <w:pPr>
        <w:pStyle w:val="ListBullet"/>
      </w:pPr>
      <w:r>
        <w:rPr>
          <w:b/>
        </w:rPr>
        <w:t xml:space="preserve">Modelos: </w:t>
      </w:r>
      <w:r>
        <w:t>NaN (open), Ollama (local), vLLM/TGI (VPC), OpenAI/Claude/Gemini (premium).</w:t>
      </w:r>
    </w:p>
    <w:p>
      <w:pPr>
        <w:pStyle w:val="ListBullet"/>
      </w:pPr>
      <w:r>
        <w:rPr>
          <w:b/>
        </w:rPr>
        <w:t xml:space="preserve">Workflows: </w:t>
      </w:r>
      <w:r>
        <w:t>n8n gestionado (auto-provisión por tenant).</w:t>
      </w:r>
    </w:p>
    <w:p>
      <w:pPr>
        <w:pStyle w:val="Heading2"/>
      </w:pPr>
      <w:r>
        <w:t>Flujo de una petición (chat / caso)</w:t>
      </w:r>
    </w:p>
    <w:p>
      <w:pPr>
        <w:pStyle w:val="ListBullet"/>
      </w:pPr>
      <w:r>
        <w:t>1. El portal envía el prompt + selección de contexto a la API.</w:t>
      </w:r>
    </w:p>
    <w:p>
      <w:pPr>
        <w:pStyle w:val="ListBullet"/>
      </w:pPr>
      <w:r>
        <w:t>2. El RAG recupera fragmentos por embeddings (y los reordena con rerank si está activo).</w:t>
      </w:r>
    </w:p>
    <w:p>
      <w:pPr>
        <w:pStyle w:val="ListBullet"/>
      </w:pPr>
      <w:r>
        <w:t>3. El router clasifica sensibilidad + PII y decide la ruta; minimiza y redacta el contexto.</w:t>
      </w:r>
    </w:p>
    <w:p>
      <w:pPr>
        <w:pStyle w:val="ListBullet"/>
      </w:pPr>
      <w:r>
        <w:t>4. Se genera la respuesta en la ruta elegida (con fallback seguro si el proveedor falla).</w:t>
      </w:r>
    </w:p>
    <w:p>
      <w:pPr>
        <w:pStyle w:val="ListBullet"/>
      </w:pPr>
      <w:r>
        <w:t>5. Cascada opcional: refina con premium a demanda o si la respuesta es insuficiente.</w:t>
      </w:r>
    </w:p>
    <w:p>
      <w:pPr>
        <w:pStyle w:val="ListBullet"/>
      </w:pPr>
      <w:r>
        <w:t>6. Se persiste el mensaje, se cita la fuente y se registra el evento de auditoría.</w:t>
      </w:r>
    </w:p>
    <w:p>
      <w:pPr>
        <w:pStyle w:val="Heading1"/>
      </w:pPr>
      <w:r>
        <w:t>4. Modelo de privacidad y enrutamiento</w:t>
      </w:r>
    </w:p>
    <w:p>
      <w:r>
        <w:rPr>
          <w:b w:val="0"/>
          <w:i w:val="0"/>
          <w:color w:val="334155"/>
          <w:sz w:val="21"/>
        </w:rPr>
        <w:t>El router implementa un árbol de decisión que prioriza la privacidad sobre el costo y la conveniencia. El usuario no interviene en la elección.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Situación del dato</w:t>
            </w:r>
          </w:p>
        </w:tc>
        <w:tc>
          <w:tcPr>
            <w:tcW w:type="dxa" w:w="2880"/>
          </w:tcPr>
          <w:p>
            <w:r>
              <w:rPr>
                <w:b/>
                <w:sz w:val="19"/>
              </w:rPr>
              <w:t>Ruta</w:t>
            </w:r>
          </w:p>
        </w:tc>
        <w:tc>
          <w:tcPr>
            <w:tcW w:type="dxa" w:w="2880"/>
          </w:tcPr>
          <w:p>
            <w:r>
              <w:rPr>
                <w:b/>
                <w:sz w:val="19"/>
              </w:rPr>
              <w:t>Notas</w:t>
            </w:r>
          </w:p>
        </w:tc>
      </w:tr>
      <w:tr>
        <w:tc>
          <w:tcPr>
            <w:tcW w:type="dxa" w:w="2880"/>
          </w:tcPr>
          <w:p>
            <w:r>
              <w:rPr>
                <w:sz w:val="18"/>
              </w:rPr>
              <w:t>Restringido</w:t>
            </w:r>
          </w:p>
        </w:tc>
        <w:tc>
          <w:tcPr>
            <w:tcW w:type="dxa" w:w="2880"/>
          </w:tcPr>
          <w:p>
            <w:r>
              <w:rPr>
                <w:sz w:val="18"/>
              </w:rPr>
              <w:t>Local</w:t>
            </w:r>
          </w:p>
        </w:tc>
        <w:tc>
          <w:tcPr>
            <w:tcW w:type="dxa" w:w="2880"/>
          </w:tcPr>
          <w:p>
            <w:r>
              <w:rPr>
                <w:sz w:val="18"/>
              </w:rPr>
              <w:t>Nunca sale de la infraestructura.</w:t>
            </w:r>
          </w:p>
        </w:tc>
      </w:tr>
      <w:tr>
        <w:tc>
          <w:tcPr>
            <w:tcW w:type="dxa" w:w="2880"/>
          </w:tcPr>
          <w:p>
            <w:r>
              <w:rPr>
                <w:sz w:val="18"/>
              </w:rPr>
              <w:t>Confidencial</w:t>
            </w:r>
          </w:p>
        </w:tc>
        <w:tc>
          <w:tcPr>
            <w:tcW w:type="dxa" w:w="2880"/>
          </w:tcPr>
          <w:p>
            <w:r>
              <w:rPr>
                <w:sz w:val="18"/>
              </w:rPr>
              <w:t>VPC (o Local)</w:t>
            </w:r>
          </w:p>
        </w:tc>
        <w:tc>
          <w:tcPr>
            <w:tcW w:type="dxa" w:w="2880"/>
          </w:tcPr>
          <w:p>
            <w:r>
              <w:rPr>
                <w:sz w:val="18"/>
              </w:rPr>
              <w:t>VPC privada con auditoría; local si no hay VPC.</w:t>
            </w:r>
          </w:p>
        </w:tc>
      </w:tr>
      <w:tr>
        <w:tc>
          <w:tcPr>
            <w:tcW w:type="dxa" w:w="2880"/>
          </w:tcPr>
          <w:p>
            <w:r>
              <w:rPr>
                <w:sz w:val="18"/>
              </w:rPr>
              <w:t>PII sin alta sensibilidad</w:t>
            </w:r>
          </w:p>
        </w:tc>
        <w:tc>
          <w:tcPr>
            <w:tcW w:type="dxa" w:w="2880"/>
          </w:tcPr>
          <w:p>
            <w:r>
              <w:rPr>
                <w:sz w:val="18"/>
              </w:rPr>
              <w:t>VPC / Local</w:t>
            </w:r>
          </w:p>
        </w:tc>
        <w:tc>
          <w:tcPr>
            <w:tcW w:type="dxa" w:w="2880"/>
          </w:tcPr>
          <w:p>
            <w:r>
              <w:rPr>
                <w:sz w:val="18"/>
              </w:rPr>
              <w:t>No sale a externo por defecto.</w:t>
            </w:r>
          </w:p>
        </w:tc>
      </w:tr>
      <w:tr>
        <w:tc>
          <w:tcPr>
            <w:tcW w:type="dxa" w:w="2880"/>
          </w:tcPr>
          <w:p>
            <w:r>
              <w:rPr>
                <w:sz w:val="18"/>
              </w:rPr>
              <w:t>Interno / Público</w:t>
            </w:r>
          </w:p>
        </w:tc>
        <w:tc>
          <w:tcPr>
            <w:tcW w:type="dxa" w:w="2880"/>
          </w:tcPr>
          <w:p>
            <w:r>
              <w:rPr>
                <w:sz w:val="18"/>
              </w:rPr>
              <w:t>Open (NaN)</w:t>
            </w:r>
          </w:p>
        </w:tc>
        <w:tc>
          <w:tcPr>
            <w:tcW w:type="dxa" w:w="2880"/>
          </w:tcPr>
          <w:p>
            <w:r>
              <w:rPr>
                <w:sz w:val="18"/>
              </w:rPr>
              <w:t>Empieza en NaN; premium solo a demanda/insuficiencia.</w:t>
            </w:r>
          </w:p>
        </w:tc>
      </w:tr>
      <w:tr>
        <w:tc>
          <w:tcPr>
            <w:tcW w:type="dxa" w:w="2880"/>
          </w:tcPr>
          <w:p>
            <w:r>
              <w:rPr>
                <w:sz w:val="18"/>
              </w:rPr>
              <w:t>Inyección / exfiltración</w:t>
            </w:r>
          </w:p>
        </w:tc>
        <w:tc>
          <w:tcPr>
            <w:tcW w:type="dxa" w:w="2880"/>
          </w:tcPr>
          <w:p>
            <w:r>
              <w:rPr>
                <w:sz w:val="18"/>
              </w:rPr>
              <w:t>Bloqueado</w:t>
            </w:r>
          </w:p>
        </w:tc>
        <w:tc>
          <w:tcPr>
            <w:tcW w:type="dxa" w:w="2880"/>
          </w:tcPr>
          <w:p>
            <w:r>
              <w:rPr>
                <w:sz w:val="18"/>
              </w:rPr>
              <w:t>Política de seguridad; se audita el intento.</w:t>
            </w:r>
          </w:p>
        </w:tc>
      </w:tr>
    </w:tbl>
    <w:p/>
    <w:p>
      <w:r>
        <w:rPr>
          <w:b w:val="0"/>
          <w:i w:val="0"/>
          <w:color w:val="334155"/>
          <w:sz w:val="21"/>
        </w:rPr>
        <w:t>NaN-primero: los datos no sensibles SIEMPRE empiezan con el modelo abierto (NaN). Premium no es ruta base; es una escalada que ocurre solo cuando el usuario pide «máxima precisión» o cuando la respuesta del modelo barato resulta insuficiente. Si no hay premium configurado, todo se resuelve en NaN; si tampoco hay NaN, la plataforma responde en modo demostración (mock) e invita a configurar un proveedor real. Datos sensibles nunca escalan a la nube sin aprobación.</w:t>
      </w:r>
    </w:p>
    <w:p>
      <w:pPr>
        <w:pStyle w:val="Heading1"/>
      </w:pPr>
      <w:r>
        <w:t>5. RAG: ingesta, recuperación y citaciones</w:t>
      </w:r>
    </w:p>
    <w:p>
      <w:pPr>
        <w:pStyle w:val="ListBullet"/>
      </w:pPr>
      <w:r>
        <w:rPr>
          <w:b/>
        </w:rPr>
        <w:t xml:space="preserve">Ingesta: </w:t>
      </w:r>
      <w:r>
        <w:t>el documento se clasifica (sensibilidad + PII), se trocea (chunking con solape) y se cifra.</w:t>
      </w:r>
    </w:p>
    <w:p>
      <w:pPr>
        <w:pStyle w:val="ListBullet"/>
      </w:pPr>
      <w:r>
        <w:rPr>
          <w:b/>
        </w:rPr>
        <w:t xml:space="preserve">Embeddings: </w:t>
      </w:r>
      <w:r>
        <w:t>se calculan sobre texto plano; los fragmentos se almacenan cifrados (AES-256-GCM).</w:t>
      </w:r>
    </w:p>
    <w:p>
      <w:pPr>
        <w:pStyle w:val="ListBullet"/>
      </w:pPr>
      <w:r>
        <w:rPr>
          <w:b/>
        </w:rPr>
        <w:t xml:space="preserve">Recuperación: </w:t>
      </w:r>
      <w:r>
        <w:t>búsqueda vectorial acotada por tenant, categoría y áreas visibles del usuario.</w:t>
      </w:r>
    </w:p>
    <w:p>
      <w:pPr>
        <w:pStyle w:val="ListBullet"/>
      </w:pPr>
      <w:r>
        <w:rPr>
          <w:b/>
        </w:rPr>
        <w:t xml:space="preserve">Reranking: </w:t>
      </w:r>
      <w:r>
        <w:t>opcional, reordena los candidatos por relevancia real (NaN Qwen3-Reranker).</w:t>
      </w:r>
    </w:p>
    <w:p>
      <w:pPr>
        <w:pStyle w:val="ListBullet"/>
      </w:pPr>
      <w:r>
        <w:rPr>
          <w:b/>
        </w:rPr>
        <w:t xml:space="preserve">Citaciones: </w:t>
      </w:r>
      <w:r>
        <w:t>cada respuesta indica documento, fragmento y score; respeta permisos por área.</w:t>
      </w:r>
    </w:p>
    <w:p>
      <w:pPr>
        <w:pStyle w:val="Heading1"/>
      </w:pPr>
      <w:r>
        <w:t>6. Cascada de modelos y eficiencia de tokens</w:t>
      </w:r>
    </w:p>
    <w:p>
      <w:r>
        <w:rPr>
          <w:b w:val="0"/>
          <w:i w:val="0"/>
          <w:color w:val="334155"/>
          <w:sz w:val="21"/>
        </w:rPr>
        <w:t>Para controlar costo sin sacrificar calidad, la plataforma combina un modelo barato (NaN) con uno premium bajo demanda y reduce el tamaño de lo que se envía:</w:t>
      </w:r>
    </w:p>
    <w:p>
      <w:pPr>
        <w:pStyle w:val="ListBullet"/>
      </w:pPr>
      <w:r>
        <w:rPr>
          <w:b/>
        </w:rPr>
        <w:t xml:space="preserve">Condensación: </w:t>
      </w:r>
      <w:r>
        <w:t>antes de pagar premium, el contexto grande se condensa con el modelo barato.</w:t>
      </w:r>
    </w:p>
    <w:p>
      <w:pPr>
        <w:pStyle w:val="ListBullet"/>
      </w:pPr>
      <w:r>
        <w:rPr>
          <w:b/>
        </w:rPr>
        <w:t xml:space="preserve">Tope de gasto: </w:t>
      </w:r>
      <w:r>
        <w:t>MAX_TOKENS_PER_REQUEST limita los tokens por consulta (0 = sin tope).</w:t>
      </w:r>
    </w:p>
    <w:p>
      <w:pPr>
        <w:pStyle w:val="ListBullet"/>
      </w:pPr>
      <w:r>
        <w:rPr>
          <w:b/>
        </w:rPr>
        <w:t xml:space="preserve">Escalada por insuficiencia: </w:t>
      </w:r>
      <w:r>
        <w:t>si el borrador barato es pobre, se sube a premium automáticamente.</w:t>
      </w:r>
    </w:p>
    <w:p>
      <w:pPr>
        <w:pStyle w:val="ListBullet"/>
      </w:pPr>
      <w:r>
        <w:rPr>
          <w:b/>
        </w:rPr>
        <w:t xml:space="preserve">Ahorro acumulado: </w:t>
      </w:r>
      <w:r>
        <w:t>el panel de Eficiencia muestra los tokens ahorrados.</w:t>
      </w:r>
    </w:p>
    <w:p>
      <w:pPr>
        <w:pStyle w:val="Heading1"/>
      </w:pPr>
      <w:r>
        <w:t>7. Módulos funcionales</w:t>
      </w:r>
    </w:p>
    <w:p>
      <w:pPr>
        <w:pStyle w:val="Heading3"/>
      </w:pPr>
      <w:r>
        <w:t>Casos de uso (recetas)</w:t>
      </w:r>
    </w:p>
    <w:p>
      <w:r>
        <w:rPr>
          <w:b w:val="0"/>
          <w:i w:val="0"/>
          <w:color w:val="334155"/>
          <w:sz w:val="21"/>
        </w:rPr>
        <w:t>Genera entregables (propuestas, cartas, reportes, licitaciones) con un paso universal objetivo/notas/formato y grounding por categoría. Borrador → aprobar → exportar a Word/PDF/Markdown/PPTX/XLSX. Reporte por industria con plantillas por sector.</w:t>
      </w:r>
    </w:p>
    <w:p>
      <w:pPr>
        <w:pStyle w:val="Heading3"/>
      </w:pPr>
      <w:r>
        <w:t>Agentes verticales</w:t>
      </w:r>
    </w:p>
    <w:p>
      <w:r>
        <w:rPr>
          <w:b w:val="0"/>
          <w:i w:val="0"/>
          <w:color w:val="334155"/>
          <w:sz w:val="21"/>
        </w:rPr>
        <w:t>Agentes especializados (Document Intelligence, Cyber Diagnostic, Proposal/SOW, Executive Copilot) configurables por área; cada respuesta pasa por el router de privacidad y cita fuentes.</w:t>
      </w:r>
    </w:p>
    <w:p>
      <w:pPr>
        <w:pStyle w:val="Heading3"/>
      </w:pPr>
      <w:r>
        <w:t>Chat con fuentes</w:t>
      </w:r>
    </w:p>
    <w:p>
      <w:r>
        <w:rPr>
          <w:b w:val="0"/>
          <w:i w:val="0"/>
          <w:color w:val="334155"/>
          <w:sz w:val="21"/>
        </w:rPr>
        <w:t>3 modos de contexto (sin contexto / todo el RAG / elegir documentos), toggles de máxima precisión (cascada) y memoria; banner con clasificación y ruta real; exportable.</w:t>
      </w:r>
    </w:p>
    <w:p>
      <w:pPr>
        <w:pStyle w:val="Heading3"/>
      </w:pPr>
      <w:r>
        <w:t>Notebooks</w:t>
      </w:r>
    </w:p>
    <w:p>
      <w:r>
        <w:rPr>
          <w:b w:val="0"/>
          <w:i w:val="0"/>
          <w:color w:val="334155"/>
          <w:sz w:val="21"/>
        </w:rPr>
        <w:t>Estilo NotebookLM privado: fuentes + preguntas citadas + artefactos (resumen, FAQ, guía, briefing, cronología) acotados a esos documentos.</w:t>
      </w:r>
    </w:p>
    <w:p>
      <w:pPr>
        <w:pStyle w:val="Heading3"/>
      </w:pPr>
      <w:r>
        <w:t>Documentos y RAG</w:t>
      </w:r>
    </w:p>
    <w:p>
      <w:r>
        <w:rPr>
          <w:b w:val="0"/>
          <w:i w:val="0"/>
          <w:color w:val="334155"/>
          <w:sz w:val="21"/>
        </w:rPr>
        <w:t>Repositorio por área + catálogo de categorías; tratamiento auto-detectado (público/interno/confidencial/restringido) y editable; borrar y re-etiquetar; Drive como contexto; índice cifrado.</w:t>
      </w:r>
    </w:p>
    <w:p>
      <w:pPr>
        <w:pStyle w:val="Heading3"/>
      </w:pPr>
      <w:r>
        <w:t>Memoria y etiquetas</w:t>
      </w:r>
    </w:p>
    <w:p>
      <w:r>
        <w:rPr>
          <w:b w:val="0"/>
          <w:i w:val="0"/>
          <w:color w:val="334155"/>
          <w:sz w:val="21"/>
        </w:rPr>
        <w:t>Memoria persistente de trabajos con búsqueda semántica + por tags; recall en el chat ('¿recuerdas el trabajo C?'); auto-captura al completar casos.</w:t>
      </w:r>
    </w:p>
    <w:p>
      <w:pPr>
        <w:pStyle w:val="Heading3"/>
      </w:pPr>
      <w:r>
        <w:t>Generar imágenes</w:t>
      </w:r>
    </w:p>
    <w:p>
      <w:r>
        <w:rPr>
          <w:b w:val="0"/>
          <w:i w:val="0"/>
          <w:color w:val="334155"/>
          <w:sz w:val="21"/>
        </w:rPr>
        <w:t>Texto→imagen (ruta estándar OpenAI), relación de aspecto y variantes; galería por área; PII redactada; auditada.</w:t>
      </w:r>
    </w:p>
    <w:p>
      <w:pPr>
        <w:pStyle w:val="Heading3"/>
      </w:pPr>
      <w:r>
        <w:t>Flujogramas</w:t>
      </w:r>
    </w:p>
    <w:p>
      <w:r>
        <w:rPr>
          <w:b w:val="0"/>
          <w:i w:val="0"/>
          <w:color w:val="334155"/>
          <w:sz w:val="21"/>
        </w:rPr>
        <w:t>La lógica del producto navegable: los flujos base del blueprint + flujo de caso + diseño libre.</w:t>
      </w:r>
    </w:p>
    <w:p>
      <w:pPr>
        <w:pStyle w:val="Heading3"/>
      </w:pPr>
      <w:r>
        <w:t>Tableros</w:t>
      </w:r>
    </w:p>
    <w:p>
      <w:r>
        <w:rPr>
          <w:b w:val="0"/>
          <w:i w:val="0"/>
          <w:color w:val="334155"/>
          <w:sz w:val="21"/>
        </w:rPr>
        <w:t>Dashboards a la medida: describe qué medir, agrega KPIs y gráficas en vivo (tokens por fuente, casos por receta, costo por ruta) + KPIs manuales.</w:t>
      </w:r>
    </w:p>
    <w:p>
      <w:pPr>
        <w:pStyle w:val="Heading3"/>
      </w:pPr>
      <w:r>
        <w:t>Trámites y casos (MCP)</w:t>
      </w:r>
    </w:p>
    <w:p>
      <w:r>
        <w:rPr>
          <w:b w:val="0"/>
          <w:i w:val="0"/>
          <w:color w:val="334155"/>
          <w:sz w:val="21"/>
        </w:rPr>
        <w:t>Catálogo curado por país/estado/empresa por ejes de desarrollo; convierte un trámite en propuesta de caso; aterriza (grounding) las respuestas.</w:t>
      </w:r>
    </w:p>
    <w:p>
      <w:pPr>
        <w:pStyle w:val="Heading3"/>
      </w:pPr>
      <w:r>
        <w:t>App Studio</w:t>
      </w:r>
    </w:p>
    <w:p>
      <w:r>
        <w:rPr>
          <w:b w:val="0"/>
          <w:i w:val="0"/>
          <w:color w:val="334155"/>
          <w:sz w:val="21"/>
        </w:rPr>
        <w:t>Construye mini-apps con IA y publícalas (pago por despliegue).</w:t>
      </w:r>
    </w:p>
    <w:p>
      <w:pPr>
        <w:pStyle w:val="Heading3"/>
      </w:pPr>
      <w:r>
        <w:t>Automatizaciones</w:t>
      </w:r>
    </w:p>
    <w:p>
      <w:r>
        <w:rPr>
          <w:b w:val="0"/>
          <w:i w:val="0"/>
          <w:color w:val="334155"/>
          <w:sz w:val="21"/>
        </w:rPr>
        <w:t>Disparador (manual/programado/evento) → acción (workflow n8n / caso / conector / notificar), con plantillas y ejecución manual.</w:t>
      </w:r>
    </w:p>
    <w:p>
      <w:pPr>
        <w:pStyle w:val="Heading1"/>
      </w:pPr>
      <w:r>
        <w:t>8. Integraciones</w:t>
      </w:r>
    </w:p>
    <w:p>
      <w:pPr>
        <w:pStyle w:val="ListBullet"/>
      </w:pPr>
      <w:r>
        <w:rPr>
          <w:b/>
        </w:rPr>
        <w:t xml:space="preserve">Correo: </w:t>
      </w:r>
      <w:r>
        <w:t>OAuth Outlook/Gmail + IMAP (Yahoo, iCloud, Zoho, hosting); varias cuentas por proveedor.</w:t>
      </w:r>
    </w:p>
    <w:p>
      <w:pPr>
        <w:pStyle w:val="ListBullet"/>
      </w:pPr>
      <w:r>
        <w:rPr>
          <w:b/>
        </w:rPr>
        <w:t xml:space="preserve">Google Drive: </w:t>
      </w:r>
      <w:r>
        <w:t>importar archivos al RAG como contexto (scope drive.readonly).</w:t>
      </w:r>
    </w:p>
    <w:p>
      <w:pPr>
        <w:pStyle w:val="ListBullet"/>
      </w:pPr>
      <w:r>
        <w:rPr>
          <w:b/>
        </w:rPr>
        <w:t xml:space="preserve">Conectores de salida: </w:t>
      </w:r>
      <w:r>
        <w:t>CRM/ERP/Delivery (HubSpot, Salesforce, Shopify, Rappi, genérico) con detalle y «ojito» de secretos (auditado).</w:t>
      </w:r>
    </w:p>
    <w:p>
      <w:pPr>
        <w:pStyle w:val="ListBullet"/>
      </w:pPr>
      <w:r>
        <w:rPr>
          <w:b/>
        </w:rPr>
        <w:t xml:space="preserve">Webhooks entrantes: </w:t>
      </w:r>
      <w:r>
        <w:t>firmados con HMAC-SHA256 (X-Signature) para recibir eventos.</w:t>
      </w:r>
    </w:p>
    <w:p>
      <w:pPr>
        <w:pStyle w:val="ListBullet"/>
      </w:pPr>
      <w:r>
        <w:rPr>
          <w:b/>
        </w:rPr>
        <w:t xml:space="preserve">Fuentes de datos legadas: </w:t>
      </w:r>
      <w:r>
        <w:t>BD de solo lectura (DSN + SELECT) y CSV → repositorio + RAG.</w:t>
      </w:r>
    </w:p>
    <w:p>
      <w:pPr>
        <w:pStyle w:val="ListBullet"/>
      </w:pPr>
      <w:r>
        <w:rPr>
          <w:b/>
        </w:rPr>
        <w:t xml:space="preserve">n8n: </w:t>
      </w:r>
      <w:r>
        <w:t>puente universal gestionado; automatizaciones con acción «workflow».</w:t>
      </w:r>
    </w:p>
    <w:p>
      <w:pPr>
        <w:pStyle w:val="ListBullet"/>
      </w:pPr>
      <w:r>
        <w:rPr>
          <w:b/>
        </w:rPr>
        <w:t xml:space="preserve">API pública /v1: </w:t>
      </w:r>
      <w:r>
        <w:t>sistemas externos llaman con X-API-Key.</w:t>
      </w:r>
    </w:p>
    <w:p>
      <w:pPr>
        <w:pStyle w:val="Heading1"/>
      </w:pPr>
      <w:r>
        <w:t>9. Toolkit de acciones (Google / Microsoft)</w:t>
      </w:r>
    </w:p>
    <w:p>
      <w:r>
        <w:rPr>
          <w:b w:val="0"/>
          <w:i w:val="0"/>
          <w:color w:val="334155"/>
          <w:sz w:val="21"/>
        </w:rPr>
        <w:t>Las lecturas corren al instante; las escrituras requieren aprobación humana (o «Permitir siempre», revocable). Todo se audita.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Acción</w:t>
            </w:r>
          </w:p>
        </w:tc>
        <w:tc>
          <w:tcPr>
            <w:tcW w:type="dxa" w:w="2160"/>
          </w:tcPr>
          <w:p>
            <w:r>
              <w:rPr>
                <w:b/>
                <w:sz w:val="19"/>
              </w:rPr>
              <w:t>Proveedor</w:t>
            </w:r>
          </w:p>
        </w:tc>
        <w:tc>
          <w:tcPr>
            <w:tcW w:type="dxa" w:w="2160"/>
          </w:tcPr>
          <w:p>
            <w:r>
              <w:rPr>
                <w:b/>
                <w:sz w:val="19"/>
              </w:rPr>
              <w:t>Escritura</w:t>
            </w:r>
          </w:p>
        </w:tc>
        <w:tc>
          <w:tcPr>
            <w:tcW w:type="dxa" w:w="2160"/>
          </w:tcPr>
          <w:p>
            <w:r>
              <w:rPr>
                <w:b/>
                <w:sz w:val="19"/>
              </w:rPr>
              <w:t>Parámetros</w:t>
            </w:r>
          </w:p>
        </w:tc>
      </w:tr>
      <w:tr>
        <w:tc>
          <w:tcPr>
            <w:tcW w:type="dxa" w:w="2160"/>
          </w:tcPr>
          <w:p>
            <w:r>
              <w:rPr>
                <w:sz w:val="18"/>
              </w:rPr>
              <w:t>gmail.send</w:t>
            </w:r>
          </w:p>
        </w:tc>
        <w:tc>
          <w:tcPr>
            <w:tcW w:type="dxa" w:w="2160"/>
          </w:tcPr>
          <w:p>
            <w:r>
              <w:rPr>
                <w:sz w:val="18"/>
              </w:rPr>
              <w:t>Google</w:t>
            </w:r>
          </w:p>
        </w:tc>
        <w:tc>
          <w:tcPr>
            <w:tcW w:type="dxa" w:w="2160"/>
          </w:tcPr>
          <w:p>
            <w:r>
              <w:rPr>
                <w:sz w:val="18"/>
              </w:rPr>
              <w:t>Sí</w:t>
            </w:r>
          </w:p>
        </w:tc>
        <w:tc>
          <w:tcPr>
            <w:tcW w:type="dxa" w:w="2160"/>
          </w:tcPr>
          <w:p>
            <w:r>
              <w:rPr>
                <w:sz w:val="18"/>
              </w:rPr>
              <w:t>to, subject, body</w:t>
            </w:r>
          </w:p>
        </w:tc>
      </w:tr>
      <w:tr>
        <w:tc>
          <w:tcPr>
            <w:tcW w:type="dxa" w:w="2160"/>
          </w:tcPr>
          <w:p>
            <w:r>
              <w:rPr>
                <w:sz w:val="18"/>
              </w:rPr>
              <w:t>gcal.create_event</w:t>
            </w:r>
          </w:p>
        </w:tc>
        <w:tc>
          <w:tcPr>
            <w:tcW w:type="dxa" w:w="2160"/>
          </w:tcPr>
          <w:p>
            <w:r>
              <w:rPr>
                <w:sz w:val="18"/>
              </w:rPr>
              <w:t>Google</w:t>
            </w:r>
          </w:p>
        </w:tc>
        <w:tc>
          <w:tcPr>
            <w:tcW w:type="dxa" w:w="2160"/>
          </w:tcPr>
          <w:p>
            <w:r>
              <w:rPr>
                <w:sz w:val="18"/>
              </w:rPr>
              <w:t>Sí</w:t>
            </w:r>
          </w:p>
        </w:tc>
        <w:tc>
          <w:tcPr>
            <w:tcW w:type="dxa" w:w="2160"/>
          </w:tcPr>
          <w:p>
            <w:r>
              <w:rPr>
                <w:sz w:val="18"/>
              </w:rPr>
              <w:t>summary, start, end, location</w:t>
            </w:r>
          </w:p>
        </w:tc>
      </w:tr>
      <w:tr>
        <w:tc>
          <w:tcPr>
            <w:tcW w:type="dxa" w:w="2160"/>
          </w:tcPr>
          <w:p>
            <w:r>
              <w:rPr>
                <w:sz w:val="18"/>
              </w:rPr>
              <w:t>gsheets.append</w:t>
            </w:r>
          </w:p>
        </w:tc>
        <w:tc>
          <w:tcPr>
            <w:tcW w:type="dxa" w:w="2160"/>
          </w:tcPr>
          <w:p>
            <w:r>
              <w:rPr>
                <w:sz w:val="18"/>
              </w:rPr>
              <w:t>Google</w:t>
            </w:r>
          </w:p>
        </w:tc>
        <w:tc>
          <w:tcPr>
            <w:tcW w:type="dxa" w:w="2160"/>
          </w:tcPr>
          <w:p>
            <w:r>
              <w:rPr>
                <w:sz w:val="18"/>
              </w:rPr>
              <w:t>Sí</w:t>
            </w:r>
          </w:p>
        </w:tc>
        <w:tc>
          <w:tcPr>
            <w:tcW w:type="dxa" w:w="2160"/>
          </w:tcPr>
          <w:p>
            <w:r>
              <w:rPr>
                <w:sz w:val="18"/>
              </w:rPr>
              <w:t>spreadsheet_id, range, values</w:t>
            </w:r>
          </w:p>
        </w:tc>
      </w:tr>
      <w:tr>
        <w:tc>
          <w:tcPr>
            <w:tcW w:type="dxa" w:w="2160"/>
          </w:tcPr>
          <w:p>
            <w:r>
              <w:rPr>
                <w:sz w:val="18"/>
              </w:rPr>
              <w:t>gsheets.read</w:t>
            </w:r>
          </w:p>
        </w:tc>
        <w:tc>
          <w:tcPr>
            <w:tcW w:type="dxa" w:w="2160"/>
          </w:tcPr>
          <w:p>
            <w:r>
              <w:rPr>
                <w:sz w:val="18"/>
              </w:rPr>
              <w:t>Google</w:t>
            </w:r>
          </w:p>
        </w:tc>
        <w:tc>
          <w:tcPr>
            <w:tcW w:type="dxa" w:w="2160"/>
          </w:tcPr>
          <w:p>
            <w:r>
              <w:rPr>
                <w:sz w:val="18"/>
              </w:rPr>
              <w:t>No</w:t>
            </w:r>
          </w:p>
        </w:tc>
        <w:tc>
          <w:tcPr>
            <w:tcW w:type="dxa" w:w="2160"/>
          </w:tcPr>
          <w:p>
            <w:r>
              <w:rPr>
                <w:sz w:val="18"/>
              </w:rPr>
              <w:t>spreadsheet_id, range</w:t>
            </w:r>
          </w:p>
        </w:tc>
      </w:tr>
      <w:tr>
        <w:tc>
          <w:tcPr>
            <w:tcW w:type="dxa" w:w="2160"/>
          </w:tcPr>
          <w:p>
            <w:r>
              <w:rPr>
                <w:sz w:val="18"/>
              </w:rPr>
              <w:t>gcal.list</w:t>
            </w:r>
          </w:p>
        </w:tc>
        <w:tc>
          <w:tcPr>
            <w:tcW w:type="dxa" w:w="2160"/>
          </w:tcPr>
          <w:p>
            <w:r>
              <w:rPr>
                <w:sz w:val="18"/>
              </w:rPr>
              <w:t>Google</w:t>
            </w:r>
          </w:p>
        </w:tc>
        <w:tc>
          <w:tcPr>
            <w:tcW w:type="dxa" w:w="2160"/>
          </w:tcPr>
          <w:p>
            <w:r>
              <w:rPr>
                <w:sz w:val="18"/>
              </w:rPr>
              <w:t>No</w:t>
            </w:r>
          </w:p>
        </w:tc>
        <w:tc>
          <w:tcPr>
            <w:tcW w:type="dxa" w:w="2160"/>
          </w:tcPr>
          <w:p>
            <w:r>
              <w:rPr>
                <w:sz w:val="18"/>
              </w:rPr>
              <w:t>days</w:t>
            </w:r>
          </w:p>
        </w:tc>
      </w:tr>
      <w:tr>
        <w:tc>
          <w:tcPr>
            <w:tcW w:type="dxa" w:w="2160"/>
          </w:tcPr>
          <w:p>
            <w:r>
              <w:rPr>
                <w:sz w:val="18"/>
              </w:rPr>
              <w:t>outlook.send</w:t>
            </w:r>
          </w:p>
        </w:tc>
        <w:tc>
          <w:tcPr>
            <w:tcW w:type="dxa" w:w="2160"/>
          </w:tcPr>
          <w:p>
            <w:r>
              <w:rPr>
                <w:sz w:val="18"/>
              </w:rPr>
              <w:t>Microsoft</w:t>
            </w:r>
          </w:p>
        </w:tc>
        <w:tc>
          <w:tcPr>
            <w:tcW w:type="dxa" w:w="2160"/>
          </w:tcPr>
          <w:p>
            <w:r>
              <w:rPr>
                <w:sz w:val="18"/>
              </w:rPr>
              <w:t>Sí</w:t>
            </w:r>
          </w:p>
        </w:tc>
        <w:tc>
          <w:tcPr>
            <w:tcW w:type="dxa" w:w="2160"/>
          </w:tcPr>
          <w:p>
            <w:r>
              <w:rPr>
                <w:sz w:val="18"/>
              </w:rPr>
              <w:t>to, subject, body</w:t>
            </w:r>
          </w:p>
        </w:tc>
      </w:tr>
      <w:tr>
        <w:tc>
          <w:tcPr>
            <w:tcW w:type="dxa" w:w="2160"/>
          </w:tcPr>
          <w:p>
            <w:r>
              <w:rPr>
                <w:sz w:val="18"/>
              </w:rPr>
              <w:t>mscal.create_event</w:t>
            </w:r>
          </w:p>
        </w:tc>
        <w:tc>
          <w:tcPr>
            <w:tcW w:type="dxa" w:w="2160"/>
          </w:tcPr>
          <w:p>
            <w:r>
              <w:rPr>
                <w:sz w:val="18"/>
              </w:rPr>
              <w:t>Microsoft</w:t>
            </w:r>
          </w:p>
        </w:tc>
        <w:tc>
          <w:tcPr>
            <w:tcW w:type="dxa" w:w="2160"/>
          </w:tcPr>
          <w:p>
            <w:r>
              <w:rPr>
                <w:sz w:val="18"/>
              </w:rPr>
              <w:t>Sí</w:t>
            </w:r>
          </w:p>
        </w:tc>
        <w:tc>
          <w:tcPr>
            <w:tcW w:type="dxa" w:w="2160"/>
          </w:tcPr>
          <w:p>
            <w:r>
              <w:rPr>
                <w:sz w:val="18"/>
              </w:rPr>
              <w:t>summary, start, end, location</w:t>
            </w:r>
          </w:p>
        </w:tc>
      </w:tr>
      <w:tr>
        <w:tc>
          <w:tcPr>
            <w:tcW w:type="dxa" w:w="2160"/>
          </w:tcPr>
          <w:p>
            <w:r>
              <w:rPr>
                <w:sz w:val="18"/>
              </w:rPr>
              <w:t>teams.post</w:t>
            </w:r>
          </w:p>
        </w:tc>
        <w:tc>
          <w:tcPr>
            <w:tcW w:type="dxa" w:w="2160"/>
          </w:tcPr>
          <w:p>
            <w:r>
              <w:rPr>
                <w:sz w:val="18"/>
              </w:rPr>
              <w:t>Microsoft</w:t>
            </w:r>
          </w:p>
        </w:tc>
        <w:tc>
          <w:tcPr>
            <w:tcW w:type="dxa" w:w="2160"/>
          </w:tcPr>
          <w:p>
            <w:r>
              <w:rPr>
                <w:sz w:val="18"/>
              </w:rPr>
              <w:t>Sí</w:t>
            </w:r>
          </w:p>
        </w:tc>
        <w:tc>
          <w:tcPr>
            <w:tcW w:type="dxa" w:w="2160"/>
          </w:tcPr>
          <w:p>
            <w:r>
              <w:rPr>
                <w:sz w:val="18"/>
              </w:rPr>
              <w:t>team_id, channel_id, message</w:t>
            </w:r>
          </w:p>
        </w:tc>
      </w:tr>
      <w:tr>
        <w:tc>
          <w:tcPr>
            <w:tcW w:type="dxa" w:w="2160"/>
          </w:tcPr>
          <w:p>
            <w:r>
              <w:rPr>
                <w:sz w:val="18"/>
              </w:rPr>
              <w:t>excel.append</w:t>
            </w:r>
          </w:p>
        </w:tc>
        <w:tc>
          <w:tcPr>
            <w:tcW w:type="dxa" w:w="2160"/>
          </w:tcPr>
          <w:p>
            <w:r>
              <w:rPr>
                <w:sz w:val="18"/>
              </w:rPr>
              <w:t>Microsoft</w:t>
            </w:r>
          </w:p>
        </w:tc>
        <w:tc>
          <w:tcPr>
            <w:tcW w:type="dxa" w:w="2160"/>
          </w:tcPr>
          <w:p>
            <w:r>
              <w:rPr>
                <w:sz w:val="18"/>
              </w:rPr>
              <w:t>Sí</w:t>
            </w:r>
          </w:p>
        </w:tc>
        <w:tc>
          <w:tcPr>
            <w:tcW w:type="dxa" w:w="2160"/>
          </w:tcPr>
          <w:p>
            <w:r>
              <w:rPr>
                <w:sz w:val="18"/>
              </w:rPr>
              <w:t>item_id, table, values</w:t>
            </w:r>
          </w:p>
        </w:tc>
      </w:tr>
      <w:tr>
        <w:tc>
          <w:tcPr>
            <w:tcW w:type="dxa" w:w="2160"/>
          </w:tcPr>
          <w:p>
            <w:r>
              <w:rPr>
                <w:sz w:val="18"/>
              </w:rPr>
              <w:t>mscal.list</w:t>
            </w:r>
          </w:p>
        </w:tc>
        <w:tc>
          <w:tcPr>
            <w:tcW w:type="dxa" w:w="2160"/>
          </w:tcPr>
          <w:p>
            <w:r>
              <w:rPr>
                <w:sz w:val="18"/>
              </w:rPr>
              <w:t>Microsoft</w:t>
            </w:r>
          </w:p>
        </w:tc>
        <w:tc>
          <w:tcPr>
            <w:tcW w:type="dxa" w:w="2160"/>
          </w:tcPr>
          <w:p>
            <w:r>
              <w:rPr>
                <w:sz w:val="18"/>
              </w:rPr>
              <w:t>No</w:t>
            </w:r>
          </w:p>
        </w:tc>
        <w:tc>
          <w:tcPr>
            <w:tcW w:type="dxa" w:w="2160"/>
          </w:tcPr>
          <w:p>
            <w:r>
              <w:rPr>
                <w:sz w:val="18"/>
              </w:rPr>
              <w:t>days</w:t>
            </w:r>
          </w:p>
        </w:tc>
      </w:tr>
      <w:tr>
        <w:tc>
          <w:tcPr>
            <w:tcW w:type="dxa" w:w="2160"/>
          </w:tcPr>
          <w:p>
            <w:r>
              <w:rPr>
                <w:sz w:val="18"/>
              </w:rPr>
              <w:t>onedrive.list</w:t>
            </w:r>
          </w:p>
        </w:tc>
        <w:tc>
          <w:tcPr>
            <w:tcW w:type="dxa" w:w="2160"/>
          </w:tcPr>
          <w:p>
            <w:r>
              <w:rPr>
                <w:sz w:val="18"/>
              </w:rPr>
              <w:t>Microsoft</w:t>
            </w:r>
          </w:p>
        </w:tc>
        <w:tc>
          <w:tcPr>
            <w:tcW w:type="dxa" w:w="2160"/>
          </w:tcPr>
          <w:p>
            <w:r>
              <w:rPr>
                <w:sz w:val="18"/>
              </w:rPr>
              <w:t>No</w:t>
            </w:r>
          </w:p>
        </w:tc>
        <w:tc>
          <w:tcPr>
            <w:tcW w:type="dxa" w:w="2160"/>
          </w:tcPr>
          <w:p>
            <w:r>
              <w:rPr>
                <w:sz w:val="18"/>
              </w:rPr>
              <w:t>query</w:t>
            </w:r>
          </w:p>
        </w:tc>
      </w:tr>
      <w:tr>
        <w:tc>
          <w:tcPr>
            <w:tcW w:type="dxa" w:w="2160"/>
          </w:tcPr>
          <w:p>
            <w:r>
              <w:rPr>
                <w:sz w:val="18"/>
              </w:rPr>
              <w:t>excel.read</w:t>
            </w:r>
          </w:p>
        </w:tc>
        <w:tc>
          <w:tcPr>
            <w:tcW w:type="dxa" w:w="2160"/>
          </w:tcPr>
          <w:p>
            <w:r>
              <w:rPr>
                <w:sz w:val="18"/>
              </w:rPr>
              <w:t>Microsoft</w:t>
            </w:r>
          </w:p>
        </w:tc>
        <w:tc>
          <w:tcPr>
            <w:tcW w:type="dxa" w:w="2160"/>
          </w:tcPr>
          <w:p>
            <w:r>
              <w:rPr>
                <w:sz w:val="18"/>
              </w:rPr>
              <w:t>No</w:t>
            </w:r>
          </w:p>
        </w:tc>
        <w:tc>
          <w:tcPr>
            <w:tcW w:type="dxa" w:w="2160"/>
          </w:tcPr>
          <w:p>
            <w:r>
              <w:rPr>
                <w:sz w:val="18"/>
              </w:rPr>
              <w:t>item_id, worksheet, range</w:t>
            </w:r>
          </w:p>
        </w:tc>
      </w:tr>
      <w:tr>
        <w:tc>
          <w:tcPr>
            <w:tcW w:type="dxa" w:w="2160"/>
          </w:tcPr>
          <w:p>
            <w:r>
              <w:rPr>
                <w:sz w:val="18"/>
              </w:rPr>
              <w:t>sharepoint.search</w:t>
            </w:r>
          </w:p>
        </w:tc>
        <w:tc>
          <w:tcPr>
            <w:tcW w:type="dxa" w:w="2160"/>
          </w:tcPr>
          <w:p>
            <w:r>
              <w:rPr>
                <w:sz w:val="18"/>
              </w:rPr>
              <w:t>Microsoft</w:t>
            </w:r>
          </w:p>
        </w:tc>
        <w:tc>
          <w:tcPr>
            <w:tcW w:type="dxa" w:w="2160"/>
          </w:tcPr>
          <w:p>
            <w:r>
              <w:rPr>
                <w:sz w:val="18"/>
              </w:rPr>
              <w:t>No</w:t>
            </w:r>
          </w:p>
        </w:tc>
        <w:tc>
          <w:tcPr>
            <w:tcW w:type="dxa" w:w="2160"/>
          </w:tcPr>
          <w:p>
            <w:r>
              <w:rPr>
                <w:sz w:val="18"/>
              </w:rPr>
              <w:t>query</w:t>
            </w:r>
          </w:p>
        </w:tc>
      </w:tr>
    </w:tbl>
    <w:p/>
    <w:p>
      <w:pPr>
        <w:pStyle w:val="Heading1"/>
      </w:pPr>
      <w:r>
        <w:t>10. Modelos y proveedores</w:t>
      </w:r>
    </w:p>
    <w:p>
      <w:r>
        <w:rPr>
          <w:b w:val="0"/>
          <w:i w:val="0"/>
          <w:color w:val="334155"/>
          <w:sz w:val="21"/>
        </w:rPr>
        <w:t>Rutas: local (Ollama), VPC (vLLM/TGI), open (NaN Builders), premium (OpenAI/Claude/Gemini compatible). Todas usan endpoints compatibles con OpenAI. El proveedor abierto por defecto es NaN Builders (API compatible OpenAI en https://api.nan.builders/v1).</w:t>
      </w:r>
    </w:p>
    <w:p>
      <w:pPr>
        <w:pStyle w:val="Heading2"/>
      </w:pPr>
      <w:r>
        <w:t>Modelos publicados de NaN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Modelo</w:t>
            </w:r>
          </w:p>
        </w:tc>
        <w:tc>
          <w:tcPr>
            <w:tcW w:type="dxa" w:w="2160"/>
          </w:tcPr>
          <w:p>
            <w:r>
              <w:rPr>
                <w:b/>
                <w:sz w:val="19"/>
              </w:rPr>
              <w:t>Tipo</w:t>
            </w:r>
          </w:p>
        </w:tc>
        <w:tc>
          <w:tcPr>
            <w:tcW w:type="dxa" w:w="2160"/>
          </w:tcPr>
          <w:p>
            <w:r>
              <w:rPr>
                <w:b/>
                <w:sz w:val="19"/>
              </w:rPr>
              <w:t>Contexto</w:t>
            </w:r>
          </w:p>
        </w:tc>
        <w:tc>
          <w:tcPr>
            <w:tcW w:type="dxa" w:w="2160"/>
          </w:tcPr>
          <w:p>
            <w:r>
              <w:rPr>
                <w:b/>
                <w:sz w:val="19"/>
              </w:rPr>
              <w:t>Capacidades</w:t>
            </w:r>
          </w:p>
        </w:tc>
      </w:tr>
      <w:tr>
        <w:tc>
          <w:tcPr>
            <w:tcW w:type="dxa" w:w="2160"/>
          </w:tcPr>
          <w:p>
            <w:r>
              <w:rPr>
                <w:sz w:val="18"/>
              </w:rPr>
              <w:t>qwen3.6</w:t>
            </w:r>
          </w:p>
        </w:tc>
        <w:tc>
          <w:tcPr>
            <w:tcW w:type="dxa" w:w="2160"/>
          </w:tcPr>
          <w:p>
            <w:r>
              <w:rPr>
                <w:sz w:val="18"/>
              </w:rPr>
              <w:t>MoE 35B/3B</w:t>
            </w:r>
          </w:p>
        </w:tc>
        <w:tc>
          <w:tcPr>
            <w:tcW w:type="dxa" w:w="2160"/>
          </w:tcPr>
          <w:p>
            <w:r>
              <w:rPr>
                <w:sz w:val="18"/>
              </w:rPr>
              <w:t>256K</w:t>
            </w:r>
          </w:p>
        </w:tc>
        <w:tc>
          <w:tcPr>
            <w:tcW w:type="dxa" w:w="2160"/>
          </w:tcPr>
          <w:p>
            <w:r>
              <w:rPr>
                <w:sz w:val="18"/>
              </w:rPr>
              <w:t>Chat, tools, visión, reasoning — principal</w:t>
            </w:r>
          </w:p>
        </w:tc>
      </w:tr>
      <w:tr>
        <w:tc>
          <w:tcPr>
            <w:tcW w:type="dxa" w:w="2160"/>
          </w:tcPr>
          <w:p>
            <w:r>
              <w:rPr>
                <w:sz w:val="18"/>
              </w:rPr>
              <w:t>deepseek-v4-flash</w:t>
            </w:r>
          </w:p>
        </w:tc>
        <w:tc>
          <w:tcPr>
            <w:tcW w:type="dxa" w:w="2160"/>
          </w:tcPr>
          <w:p>
            <w:r>
              <w:rPr>
                <w:sz w:val="18"/>
              </w:rPr>
              <w:t>MoE 284B/21B</w:t>
            </w:r>
          </w:p>
        </w:tc>
        <w:tc>
          <w:tcPr>
            <w:tcW w:type="dxa" w:w="2160"/>
          </w:tcPr>
          <w:p>
            <w:r>
              <w:rPr>
                <w:sz w:val="18"/>
              </w:rPr>
              <w:t>1M</w:t>
            </w:r>
          </w:p>
        </w:tc>
        <w:tc>
          <w:tcPr>
            <w:tcW w:type="dxa" w:w="2160"/>
          </w:tcPr>
          <w:p>
            <w:r>
              <w:rPr>
                <w:sz w:val="18"/>
              </w:rPr>
              <w:t>Chat, tools, reasoning (reasoning_effort)</w:t>
            </w:r>
          </w:p>
        </w:tc>
      </w:tr>
      <w:tr>
        <w:tc>
          <w:tcPr>
            <w:tcW w:type="dxa" w:w="2160"/>
          </w:tcPr>
          <w:p>
            <w:r>
              <w:rPr>
                <w:sz w:val="18"/>
              </w:rPr>
              <w:t>mimo-v2.5</w:t>
            </w:r>
          </w:p>
        </w:tc>
        <w:tc>
          <w:tcPr>
            <w:tcW w:type="dxa" w:w="2160"/>
          </w:tcPr>
          <w:p>
            <w:r>
              <w:rPr>
                <w:sz w:val="18"/>
              </w:rPr>
              <w:t>MoE 310B/15B</w:t>
            </w:r>
          </w:p>
        </w:tc>
        <w:tc>
          <w:tcPr>
            <w:tcW w:type="dxa" w:w="2160"/>
          </w:tcPr>
          <w:p>
            <w:r>
              <w:rPr>
                <w:sz w:val="18"/>
              </w:rPr>
              <w:t>1M</w:t>
            </w:r>
          </w:p>
        </w:tc>
        <w:tc>
          <w:tcPr>
            <w:tcW w:type="dxa" w:w="2160"/>
          </w:tcPr>
          <w:p>
            <w:r>
              <w:rPr>
                <w:sz w:val="18"/>
              </w:rPr>
              <w:t>Omnimodal (texto+imagen+audio), tools, reasoning</w:t>
            </w:r>
          </w:p>
        </w:tc>
      </w:tr>
      <w:tr>
        <w:tc>
          <w:tcPr>
            <w:tcW w:type="dxa" w:w="2160"/>
          </w:tcPr>
          <w:p>
            <w:r>
              <w:rPr>
                <w:sz w:val="18"/>
              </w:rPr>
              <w:t>gemma4</w:t>
            </w:r>
          </w:p>
        </w:tc>
        <w:tc>
          <w:tcPr>
            <w:tcW w:type="dxa" w:w="2160"/>
          </w:tcPr>
          <w:p>
            <w:r>
              <w:rPr>
                <w:sz w:val="18"/>
              </w:rPr>
              <w:t>MoE 26B/4B</w:t>
            </w:r>
          </w:p>
        </w:tc>
        <w:tc>
          <w:tcPr>
            <w:tcW w:type="dxa" w:w="2160"/>
          </w:tcPr>
          <w:p>
            <w:r>
              <w:rPr>
                <w:sz w:val="18"/>
              </w:rPr>
              <w:t>256K</w:t>
            </w:r>
          </w:p>
        </w:tc>
        <w:tc>
          <w:tcPr>
            <w:tcW w:type="dxa" w:w="2160"/>
          </w:tcPr>
          <w:p>
            <w:r>
              <w:rPr>
                <w:sz w:val="18"/>
              </w:rPr>
              <w:t>Chat, visión, reasoning (opt-in)</w:t>
            </w:r>
          </w:p>
        </w:tc>
      </w:tr>
      <w:tr>
        <w:tc>
          <w:tcPr>
            <w:tcW w:type="dxa" w:w="2160"/>
          </w:tcPr>
          <w:p>
            <w:r>
              <w:rPr>
                <w:sz w:val="18"/>
              </w:rPr>
              <w:t>qwen3-embedding</w:t>
            </w:r>
          </w:p>
        </w:tc>
        <w:tc>
          <w:tcPr>
            <w:tcW w:type="dxa" w:w="2160"/>
          </w:tcPr>
          <w:p>
            <w:r>
              <w:rPr>
                <w:sz w:val="18"/>
              </w:rPr>
              <w:t>8B</w:t>
            </w:r>
          </w:p>
        </w:tc>
        <w:tc>
          <w:tcPr>
            <w:tcW w:type="dxa" w:w="2160"/>
          </w:tcPr>
          <w:p>
            <w:r>
              <w:rPr>
                <w:sz w:val="18"/>
              </w:rPr>
              <w:t>—</w:t>
            </w:r>
          </w:p>
        </w:tc>
        <w:tc>
          <w:tcPr>
            <w:tcW w:type="dxa" w:w="2160"/>
          </w:tcPr>
          <w:p>
            <w:r>
              <w:rPr>
                <w:sz w:val="18"/>
              </w:rPr>
              <w:t>Embeddings 4096-dim, 100+ idiomas</w:t>
            </w:r>
          </w:p>
        </w:tc>
      </w:tr>
      <w:tr>
        <w:tc>
          <w:tcPr>
            <w:tcW w:type="dxa" w:w="2160"/>
          </w:tcPr>
          <w:p>
            <w:r>
              <w:rPr>
                <w:sz w:val="18"/>
              </w:rPr>
              <w:t>rerank</w:t>
            </w:r>
          </w:p>
        </w:tc>
        <w:tc>
          <w:tcPr>
            <w:tcW w:type="dxa" w:w="2160"/>
          </w:tcPr>
          <w:p>
            <w:r>
              <w:rPr>
                <w:sz w:val="18"/>
              </w:rPr>
              <w:t>Qwen3-Reranker-8B</w:t>
            </w:r>
          </w:p>
        </w:tc>
        <w:tc>
          <w:tcPr>
            <w:tcW w:type="dxa" w:w="2160"/>
          </w:tcPr>
          <w:p>
            <w:r>
              <w:rPr>
                <w:sz w:val="18"/>
              </w:rPr>
              <w:t>—</w:t>
            </w:r>
          </w:p>
        </w:tc>
        <w:tc>
          <w:tcPr>
            <w:tcW w:type="dxa" w:w="2160"/>
          </w:tcPr>
          <w:p>
            <w:r>
              <w:rPr>
                <w:sz w:val="18"/>
              </w:rPr>
              <w:t>Reranking RAG (/rerank)</w:t>
            </w:r>
          </w:p>
        </w:tc>
      </w:tr>
      <w:tr>
        <w:tc>
          <w:tcPr>
            <w:tcW w:type="dxa" w:w="2160"/>
          </w:tcPr>
          <w:p>
            <w:r>
              <w:rPr>
                <w:sz w:val="18"/>
              </w:rPr>
              <w:t>kokoro</w:t>
            </w:r>
          </w:p>
        </w:tc>
        <w:tc>
          <w:tcPr>
            <w:tcW w:type="dxa" w:w="2160"/>
          </w:tcPr>
          <w:p>
            <w:r>
              <w:rPr>
                <w:sz w:val="18"/>
              </w:rPr>
              <w:t>TTS 82M</w:t>
            </w:r>
          </w:p>
        </w:tc>
        <w:tc>
          <w:tcPr>
            <w:tcW w:type="dxa" w:w="2160"/>
          </w:tcPr>
          <w:p>
            <w:r>
              <w:rPr>
                <w:sz w:val="18"/>
              </w:rPr>
              <w:t>—</w:t>
            </w:r>
          </w:p>
        </w:tc>
        <w:tc>
          <w:tcPr>
            <w:tcW w:type="dxa" w:w="2160"/>
          </w:tcPr>
          <w:p>
            <w:r>
              <w:rPr>
                <w:sz w:val="18"/>
              </w:rPr>
              <w:t>Text-to-speech, voces ES</w:t>
            </w:r>
          </w:p>
        </w:tc>
      </w:tr>
      <w:tr>
        <w:tc>
          <w:tcPr>
            <w:tcW w:type="dxa" w:w="2160"/>
          </w:tcPr>
          <w:p>
            <w:r>
              <w:rPr>
                <w:sz w:val="18"/>
              </w:rPr>
              <w:t>whisper</w:t>
            </w:r>
          </w:p>
        </w:tc>
        <w:tc>
          <w:tcPr>
            <w:tcW w:type="dxa" w:w="2160"/>
          </w:tcPr>
          <w:p>
            <w:r>
              <w:rPr>
                <w:sz w:val="18"/>
              </w:rPr>
              <w:t>large-v3</w:t>
            </w:r>
          </w:p>
        </w:tc>
        <w:tc>
          <w:tcPr>
            <w:tcW w:type="dxa" w:w="2160"/>
          </w:tcPr>
          <w:p>
            <w:r>
              <w:rPr>
                <w:sz w:val="18"/>
              </w:rPr>
              <w:t>—</w:t>
            </w:r>
          </w:p>
        </w:tc>
        <w:tc>
          <w:tcPr>
            <w:tcW w:type="dxa" w:w="2160"/>
          </w:tcPr>
          <w:p>
            <w:r>
              <w:rPr>
                <w:sz w:val="18"/>
              </w:rPr>
              <w:t>Speech-to-text, 99+ idiomas</w:t>
            </w:r>
          </w:p>
        </w:tc>
      </w:tr>
    </w:tbl>
    <w:p/>
    <w:p>
      <w:r>
        <w:rPr>
          <w:b w:val="0"/>
          <w:i/>
          <w:color w:val="64748B"/>
          <w:sz w:val="21"/>
        </w:rPr>
        <w:t>Nota: la API documentada de NaN no expone generación de imágenes (es una función de su web). La sección «Generar imágenes» usa la ruta estándar de OpenAI y funciona con cualquier proveedor que la exponga.</w:t>
      </w:r>
    </w:p>
    <w:p>
      <w:pPr>
        <w:pStyle w:val="Heading1"/>
      </w:pPr>
      <w:r>
        <w:t>11. Roles, permisos y multi-tenant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Rol</w:t>
            </w:r>
          </w:p>
        </w:tc>
        <w:tc>
          <w:tcPr>
            <w:tcW w:type="dxa" w:w="4320"/>
          </w:tcPr>
          <w:p>
            <w:r>
              <w:rPr>
                <w:b/>
                <w:sz w:val="19"/>
              </w:rPr>
              <w:t>Puede</w:t>
            </w:r>
          </w:p>
        </w:tc>
      </w:tr>
      <w:tr>
        <w:tc>
          <w:tcPr>
            <w:tcW w:type="dxa" w:w="4320"/>
          </w:tcPr>
          <w:p>
            <w:r>
              <w:rPr>
                <w:sz w:val="18"/>
              </w:rPr>
              <w:t>super_admin</w:t>
            </w:r>
          </w:p>
        </w:tc>
        <w:tc>
          <w:tcPr>
            <w:tcW w:type="dxa" w:w="4320"/>
          </w:tcPr>
          <w:p>
            <w:r>
              <w:rPr>
                <w:sz w:val="18"/>
              </w:rPr>
              <w:t>Todo, a través de todos los tenants.</w:t>
            </w:r>
          </w:p>
        </w:tc>
      </w:tr>
      <w:tr>
        <w:tc>
          <w:tcPr>
            <w:tcW w:type="dxa" w:w="4320"/>
          </w:tcPr>
          <w:p>
            <w:r>
              <w:rPr>
                <w:sz w:val="18"/>
              </w:rPr>
              <w:t>admin</w:t>
            </w:r>
          </w:p>
        </w:tc>
        <w:tc>
          <w:tcPr>
            <w:tcW w:type="dxa" w:w="4320"/>
          </w:tcPr>
          <w:p>
            <w:r>
              <w:rPr>
                <w:sz w:val="18"/>
              </w:rPr>
              <w:t>Configuración del tenant: marca, facturación, usuarios, modelos, integraciones.</w:t>
            </w:r>
          </w:p>
        </w:tc>
      </w:tr>
      <w:tr>
        <w:tc>
          <w:tcPr>
            <w:tcW w:type="dxa" w:w="4320"/>
          </w:tcPr>
          <w:p>
            <w:r>
              <w:rPr>
                <w:sz w:val="18"/>
              </w:rPr>
              <w:t>user</w:t>
            </w:r>
          </w:p>
        </w:tc>
        <w:tc>
          <w:tcPr>
            <w:tcW w:type="dxa" w:w="4320"/>
          </w:tcPr>
          <w:p>
            <w:r>
              <w:rPr>
                <w:sz w:val="18"/>
              </w:rPr>
              <w:t>Usar casos, agentes, documentos, automatizaciones.</w:t>
            </w:r>
          </w:p>
        </w:tc>
      </w:tr>
      <w:tr>
        <w:tc>
          <w:tcPr>
            <w:tcW w:type="dxa" w:w="4320"/>
          </w:tcPr>
          <w:p>
            <w:r>
              <w:rPr>
                <w:sz w:val="18"/>
              </w:rPr>
              <w:t>security</w:t>
            </w:r>
          </w:p>
        </w:tc>
        <w:tc>
          <w:tcPr>
            <w:tcW w:type="dxa" w:w="4320"/>
          </w:tcPr>
          <w:p>
            <w:r>
              <w:rPr>
                <w:sz w:val="18"/>
              </w:rPr>
              <w:t>Auditoría, políticas y revisión de eventos.</w:t>
            </w:r>
          </w:p>
        </w:tc>
      </w:tr>
      <w:tr>
        <w:tc>
          <w:tcPr>
            <w:tcW w:type="dxa" w:w="4320"/>
          </w:tcPr>
          <w:p>
            <w:r>
              <w:rPr>
                <w:sz w:val="18"/>
              </w:rPr>
              <w:t>devops</w:t>
            </w:r>
          </w:p>
        </w:tc>
        <w:tc>
          <w:tcPr>
            <w:tcW w:type="dxa" w:w="4320"/>
          </w:tcPr>
          <w:p>
            <w:r>
              <w:rPr>
                <w:sz w:val="18"/>
              </w:rPr>
              <w:t>Conectores e integraciones técnicas (fuentes de datos).</w:t>
            </w:r>
          </w:p>
        </w:tc>
      </w:tr>
    </w:tbl>
    <w:p/>
    <w:p>
      <w:r>
        <w:rPr>
          <w:b w:val="0"/>
          <w:i w:val="0"/>
          <w:color w:val="334155"/>
          <w:sz w:val="21"/>
        </w:rPr>
        <w:t>Los permisos son jerárquicos por área y licencia: el rol y el área deciden qué documentos y contexto ve cada quien. General/sin área es visible para todos; Admin, Security y Super Admin ven todas las áreas. La autenticación es JWT (Bearer); SSO/OIDC es opcional.</w:t>
      </w:r>
    </w:p>
    <w:p>
      <w:pPr>
        <w:pStyle w:val="Heading1"/>
      </w:pPr>
      <w:r>
        <w:t>12. Seguridad, privacidad y cumplimiento</w:t>
      </w:r>
    </w:p>
    <w:p>
      <w:pPr>
        <w:pStyle w:val="ListBullet"/>
      </w:pPr>
      <w:r>
        <w:rPr>
          <w:b/>
        </w:rPr>
        <w:t xml:space="preserve">Cifrado en reposo: </w:t>
      </w:r>
      <w:r>
        <w:t>AES-256-GCM por tenant (documentos, fragmentos, credenciales).</w:t>
      </w:r>
    </w:p>
    <w:p>
      <w:pPr>
        <w:pStyle w:val="ListBullet"/>
      </w:pPr>
      <w:r>
        <w:rPr>
          <w:b/>
        </w:rPr>
        <w:t xml:space="preserve">Redacción de PII: </w:t>
      </w:r>
      <w:r>
        <w:t>antes de cualquier salida externa.</w:t>
      </w:r>
    </w:p>
    <w:p>
      <w:pPr>
        <w:pStyle w:val="ListBullet"/>
      </w:pPr>
      <w:r>
        <w:rPr>
          <w:b/>
        </w:rPr>
        <w:t xml:space="preserve">Minimización de contexto: </w:t>
      </w:r>
      <w:r>
        <w:t>solo se envía lo necesario, nunca documentos completos sin autorización.</w:t>
      </w:r>
    </w:p>
    <w:p>
      <w:pPr>
        <w:pStyle w:val="ListBullet"/>
      </w:pPr>
      <w:r>
        <w:rPr>
          <w:b/>
        </w:rPr>
        <w:t xml:space="preserve">Auditoría: </w:t>
      </w:r>
      <w:r>
        <w:t>cada evento registra usuario, ruta, modelo, tokens, costo, sensibilidad y razón; export a SIEM (JSONL).</w:t>
      </w:r>
    </w:p>
    <w:p>
      <w:pPr>
        <w:pStyle w:val="ListBullet"/>
      </w:pPr>
      <w:r>
        <w:rPr>
          <w:b/>
        </w:rPr>
        <w:t xml:space="preserve">Endurecimiento: </w:t>
      </w:r>
      <w:r>
        <w:t>denylist DML/CTE en fuentes de datos, escapado OData en Graph, authz de config solo super admin.</w:t>
      </w:r>
    </w:p>
    <w:p>
      <w:pPr>
        <w:pStyle w:val="ListBullet"/>
      </w:pPr>
      <w:r>
        <w:rPr>
          <w:b/>
        </w:rPr>
        <w:t xml:space="preserve">Cumplimiento de referencia: </w:t>
      </w:r>
      <w:r>
        <w:t>LFPDPPP, OWASP Top 10 for LLM Apps 2025, NIST AI RMF.</w:t>
      </w:r>
    </w:p>
    <w:p>
      <w:pPr>
        <w:pStyle w:val="Heading1"/>
      </w:pPr>
      <w:r>
        <w:t>13. Entornos, CI/CD y flujo Git</w:t>
      </w:r>
    </w:p>
    <w:p>
      <w:r>
        <w:rPr>
          <w:b w:val="0"/>
          <w:i w:val="0"/>
          <w:color w:val="334155"/>
          <w:sz w:val="21"/>
        </w:rPr>
        <w:t>Promoción dev → qa → main (producción) mediante Pull Requests con CI obligatorio (pytest de la API + build del portal). Cada push a main despliega el portal (Vercel) y la API (Render). Las migraciones son aditivas e idempotentes para no perder datos. Se recomienda proteger las ramas main y qa (requerir PR + checks en verde).</w:t>
      </w:r>
    </w:p>
    <w:p>
      <w:pPr>
        <w:pStyle w:val="Heading1"/>
      </w:pPr>
      <w:r>
        <w:t>14. Configuración y despliegue</w:t>
      </w:r>
    </w:p>
    <w:p>
      <w:r>
        <w:rPr>
          <w:b w:val="0"/>
          <w:i w:val="0"/>
          <w:color w:val="334155"/>
          <w:sz w:val="21"/>
        </w:rPr>
        <w:t>Variables de entorno principales (Backend en Render salvo la última, que es del portal):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Variable(s)</w:t>
            </w:r>
          </w:p>
        </w:tc>
        <w:tc>
          <w:tcPr>
            <w:tcW w:type="dxa" w:w="2880"/>
          </w:tcPr>
          <w:p>
            <w:r>
              <w:rPr>
                <w:b/>
                <w:sz w:val="19"/>
              </w:rPr>
              <w:t>Grupo</w:t>
            </w:r>
          </w:p>
        </w:tc>
        <w:tc>
          <w:tcPr>
            <w:tcW w:type="dxa" w:w="2880"/>
          </w:tcPr>
          <w:p>
            <w:r>
              <w:rPr>
                <w:b/>
                <w:sz w:val="19"/>
              </w:rPr>
              <w:t>Descripción</w:t>
            </w:r>
          </w:p>
        </w:tc>
      </w:tr>
      <w:tr>
        <w:tc>
          <w:tcPr>
            <w:tcW w:type="dxa" w:w="2880"/>
          </w:tcPr>
          <w:p>
            <w:r>
              <w:rPr>
                <w:sz w:val="18"/>
              </w:rPr>
              <w:t>SECRET_KEY</w:t>
            </w:r>
          </w:p>
        </w:tc>
        <w:tc>
          <w:tcPr>
            <w:tcW w:type="dxa" w:w="2880"/>
          </w:tcPr>
          <w:p>
            <w:r>
              <w:rPr>
                <w:sz w:val="18"/>
              </w:rPr>
              <w:t>Núcleo</w:t>
            </w:r>
          </w:p>
        </w:tc>
        <w:tc>
          <w:tcPr>
            <w:tcW w:type="dxa" w:w="2880"/>
          </w:tcPr>
          <w:p>
            <w:r>
              <w:rPr>
                <w:sz w:val="18"/>
              </w:rPr>
              <w:t>Clave de firma JWT (32+ caracteres).</w:t>
            </w:r>
          </w:p>
        </w:tc>
      </w:tr>
      <w:tr>
        <w:tc>
          <w:tcPr>
            <w:tcW w:type="dxa" w:w="2880"/>
          </w:tcPr>
          <w:p>
            <w:r>
              <w:rPr>
                <w:sz w:val="18"/>
              </w:rPr>
              <w:t>DATABASE_URL</w:t>
            </w:r>
          </w:p>
        </w:tc>
        <w:tc>
          <w:tcPr>
            <w:tcW w:type="dxa" w:w="2880"/>
          </w:tcPr>
          <w:p>
            <w:r>
              <w:rPr>
                <w:sz w:val="18"/>
              </w:rPr>
              <w:t>Núcleo</w:t>
            </w:r>
          </w:p>
        </w:tc>
        <w:tc>
          <w:tcPr>
            <w:tcW w:type="dxa" w:w="2880"/>
          </w:tcPr>
          <w:p>
            <w:r>
              <w:rPr>
                <w:sz w:val="18"/>
              </w:rPr>
              <w:t>Postgres (Supabase Session Pooler). Sin ella, SQLite efímero.</w:t>
            </w:r>
          </w:p>
        </w:tc>
      </w:tr>
      <w:tr>
        <w:tc>
          <w:tcPr>
            <w:tcW w:type="dxa" w:w="2880"/>
          </w:tcPr>
          <w:p>
            <w:r>
              <w:rPr>
                <w:sz w:val="18"/>
              </w:rPr>
              <w:t>CORS_ORIGINS / CORS_ORIGIN_REGEX</w:t>
            </w:r>
          </w:p>
        </w:tc>
        <w:tc>
          <w:tcPr>
            <w:tcW w:type="dxa" w:w="2880"/>
          </w:tcPr>
          <w:p>
            <w:r>
              <w:rPr>
                <w:sz w:val="18"/>
              </w:rPr>
              <w:t>Núcleo</w:t>
            </w:r>
          </w:p>
        </w:tc>
        <w:tc>
          <w:tcPr>
            <w:tcW w:type="dxa" w:w="2880"/>
          </w:tcPr>
          <w:p>
            <w:r>
              <w:rPr>
                <w:sz w:val="18"/>
              </w:rPr>
              <w:t>Orígenes permitidos del portal.</w:t>
            </w:r>
          </w:p>
        </w:tc>
      </w:tr>
      <w:tr>
        <w:tc>
          <w:tcPr>
            <w:tcW w:type="dxa" w:w="2880"/>
          </w:tcPr>
          <w:p>
            <w:r>
              <w:rPr>
                <w:sz w:val="18"/>
              </w:rPr>
              <w:t>APP_ENV</w:t>
            </w:r>
          </w:p>
        </w:tc>
        <w:tc>
          <w:tcPr>
            <w:tcW w:type="dxa" w:w="2880"/>
          </w:tcPr>
          <w:p>
            <w:r>
              <w:rPr>
                <w:sz w:val="18"/>
              </w:rPr>
              <w:t>Núcleo</w:t>
            </w:r>
          </w:p>
        </w:tc>
        <w:tc>
          <w:tcPr>
            <w:tcW w:type="dxa" w:w="2880"/>
          </w:tcPr>
          <w:p>
            <w:r>
              <w:rPr>
                <w:sz w:val="18"/>
              </w:rPr>
              <w:t>production / development.</w:t>
            </w:r>
          </w:p>
        </w:tc>
      </w:tr>
      <w:tr>
        <w:tc>
          <w:tcPr>
            <w:tcW w:type="dxa" w:w="2880"/>
          </w:tcPr>
          <w:p>
            <w:r>
              <w:rPr>
                <w:sz w:val="18"/>
              </w:rPr>
              <w:t>OPEN_ENABLED / OPEN_API_KEY / OPEN_BASE_URL / OPEN_MODEL</w:t>
            </w:r>
          </w:p>
        </w:tc>
        <w:tc>
          <w:tcPr>
            <w:tcW w:type="dxa" w:w="2880"/>
          </w:tcPr>
          <w:p>
            <w:r>
              <w:rPr>
                <w:sz w:val="18"/>
              </w:rPr>
              <w:t>Modelos</w:t>
            </w:r>
          </w:p>
        </w:tc>
        <w:tc>
          <w:tcPr>
            <w:tcW w:type="dxa" w:w="2880"/>
          </w:tcPr>
          <w:p>
            <w:r>
              <w:rPr>
                <w:sz w:val="18"/>
              </w:rPr>
              <w:t>Ruta abierta — NaN Builders.</w:t>
            </w:r>
          </w:p>
        </w:tc>
      </w:tr>
      <w:tr>
        <w:tc>
          <w:tcPr>
            <w:tcW w:type="dxa" w:w="2880"/>
          </w:tcPr>
          <w:p>
            <w:r>
              <w:rPr>
                <w:sz w:val="18"/>
              </w:rPr>
              <w:t>PREMIUM_ENABLED / PREMIUM_API_KEY / PREMIUM_BASE_URL / PREMIUM_MODEL</w:t>
            </w:r>
          </w:p>
        </w:tc>
        <w:tc>
          <w:tcPr>
            <w:tcW w:type="dxa" w:w="2880"/>
          </w:tcPr>
          <w:p>
            <w:r>
              <w:rPr>
                <w:sz w:val="18"/>
              </w:rPr>
              <w:t>Modelos</w:t>
            </w:r>
          </w:p>
        </w:tc>
        <w:tc>
          <w:tcPr>
            <w:tcW w:type="dxa" w:w="2880"/>
          </w:tcPr>
          <w:p>
            <w:r>
              <w:rPr>
                <w:sz w:val="18"/>
              </w:rPr>
              <w:t>Ruta premium (OpenAI/Claude/Gemini compatible).</w:t>
            </w:r>
          </w:p>
        </w:tc>
      </w:tr>
      <w:tr>
        <w:tc>
          <w:tcPr>
            <w:tcW w:type="dxa" w:w="2880"/>
          </w:tcPr>
          <w:p>
            <w:r>
              <w:rPr>
                <w:sz w:val="18"/>
              </w:rPr>
              <w:t>LOCAL_ENABLED / LOCAL_BASE_URL / LOCAL_MODEL</w:t>
            </w:r>
          </w:p>
        </w:tc>
        <w:tc>
          <w:tcPr>
            <w:tcW w:type="dxa" w:w="2880"/>
          </w:tcPr>
          <w:p>
            <w:r>
              <w:rPr>
                <w:sz w:val="18"/>
              </w:rPr>
              <w:t>Modelos</w:t>
            </w:r>
          </w:p>
        </w:tc>
        <w:tc>
          <w:tcPr>
            <w:tcW w:type="dxa" w:w="2880"/>
          </w:tcPr>
          <w:p>
            <w:r>
              <w:rPr>
                <w:sz w:val="18"/>
              </w:rPr>
              <w:t>Ruta local (Ollama).</w:t>
            </w:r>
          </w:p>
        </w:tc>
      </w:tr>
      <w:tr>
        <w:tc>
          <w:tcPr>
            <w:tcW w:type="dxa" w:w="2880"/>
          </w:tcPr>
          <w:p>
            <w:r>
              <w:rPr>
                <w:sz w:val="18"/>
              </w:rPr>
              <w:t>VPC_ENABLED / VPC_BASE_URL / VPC_API_KEY / VPC_MODEL</w:t>
            </w:r>
          </w:p>
        </w:tc>
        <w:tc>
          <w:tcPr>
            <w:tcW w:type="dxa" w:w="2880"/>
          </w:tcPr>
          <w:p>
            <w:r>
              <w:rPr>
                <w:sz w:val="18"/>
              </w:rPr>
              <w:t>Modelos</w:t>
            </w:r>
          </w:p>
        </w:tc>
        <w:tc>
          <w:tcPr>
            <w:tcW w:type="dxa" w:w="2880"/>
          </w:tcPr>
          <w:p>
            <w:r>
              <w:rPr>
                <w:sz w:val="18"/>
              </w:rPr>
              <w:t>Ruta VPC (vLLM/TGI).</w:t>
            </w:r>
          </w:p>
        </w:tc>
      </w:tr>
      <w:tr>
        <w:tc>
          <w:tcPr>
            <w:tcW w:type="dxa" w:w="2880"/>
          </w:tcPr>
          <w:p>
            <w:r>
              <w:rPr>
                <w:sz w:val="18"/>
              </w:rPr>
              <w:t>ALLOW_CLOUD_FALLBACK</w:t>
            </w:r>
          </w:p>
        </w:tc>
        <w:tc>
          <w:tcPr>
            <w:tcW w:type="dxa" w:w="2880"/>
          </w:tcPr>
          <w:p>
            <w:r>
              <w:rPr>
                <w:sz w:val="18"/>
              </w:rPr>
              <w:t>Modelos</w:t>
            </w:r>
          </w:p>
        </w:tc>
        <w:tc>
          <w:tcPr>
            <w:tcW w:type="dxa" w:w="2880"/>
          </w:tcPr>
          <w:p>
            <w:r>
              <w:rPr>
                <w:sz w:val="18"/>
              </w:rPr>
              <w:t>Permite subir a nube si la ruta privada no tiene modelo real (opt-in).</w:t>
            </w:r>
          </w:p>
        </w:tc>
      </w:tr>
      <w:tr>
        <w:tc>
          <w:tcPr>
            <w:tcW w:type="dxa" w:w="2880"/>
          </w:tcPr>
          <w:p>
            <w:r>
              <w:rPr>
                <w:sz w:val="18"/>
              </w:rPr>
              <w:t>CONDENSE_ENABLED / CONDENSE_THRESHOLD_CHARS / MAX_TOKENS_PER_REQUEST</w:t>
            </w:r>
          </w:p>
        </w:tc>
        <w:tc>
          <w:tcPr>
            <w:tcW w:type="dxa" w:w="2880"/>
          </w:tcPr>
          <w:p>
            <w:r>
              <w:rPr>
                <w:sz w:val="18"/>
              </w:rPr>
              <w:t>Eficiencia</w:t>
            </w:r>
          </w:p>
        </w:tc>
        <w:tc>
          <w:tcPr>
            <w:tcW w:type="dxa" w:w="2880"/>
          </w:tcPr>
          <w:p>
            <w:r>
              <w:rPr>
                <w:sz w:val="18"/>
              </w:rPr>
              <w:t>Condensación + tope de gasto.</w:t>
            </w:r>
          </w:p>
        </w:tc>
      </w:tr>
      <w:tr>
        <w:tc>
          <w:tcPr>
            <w:tcW w:type="dxa" w:w="2880"/>
          </w:tcPr>
          <w:p>
            <w:r>
              <w:rPr>
                <w:sz w:val="18"/>
              </w:rPr>
              <w:t>RERANK_ENABLED / RERANK_MODEL / RERANK_CANDIDATES</w:t>
            </w:r>
          </w:p>
        </w:tc>
        <w:tc>
          <w:tcPr>
            <w:tcW w:type="dxa" w:w="2880"/>
          </w:tcPr>
          <w:p>
            <w:r>
              <w:rPr>
                <w:sz w:val="18"/>
              </w:rPr>
              <w:t>Eficiencia</w:t>
            </w:r>
          </w:p>
        </w:tc>
        <w:tc>
          <w:tcPr>
            <w:tcW w:type="dxa" w:w="2880"/>
          </w:tcPr>
          <w:p>
            <w:r>
              <w:rPr>
                <w:sz w:val="18"/>
              </w:rPr>
              <w:t>Reranking del RAG (NaN).</w:t>
            </w:r>
          </w:p>
        </w:tc>
      </w:tr>
      <w:tr>
        <w:tc>
          <w:tcPr>
            <w:tcW w:type="dxa" w:w="2880"/>
          </w:tcPr>
          <w:p>
            <w:r>
              <w:rPr>
                <w:sz w:val="18"/>
              </w:rPr>
              <w:t>ENCRYPTION_ENABLED / MASTER_KMS_KEY / KMS_KEY_VERSION</w:t>
            </w:r>
          </w:p>
        </w:tc>
        <w:tc>
          <w:tcPr>
            <w:tcW w:type="dxa" w:w="2880"/>
          </w:tcPr>
          <w:p>
            <w:r>
              <w:rPr>
                <w:sz w:val="18"/>
              </w:rPr>
              <w:t>Seguridad</w:t>
            </w:r>
          </w:p>
        </w:tc>
        <w:tc>
          <w:tcPr>
            <w:tcW w:type="dxa" w:w="2880"/>
          </w:tcPr>
          <w:p>
            <w:r>
              <w:rPr>
                <w:sz w:val="18"/>
              </w:rPr>
              <w:t>Cifrado en reposo AES-256-GCM.</w:t>
            </w:r>
          </w:p>
        </w:tc>
      </w:tr>
      <w:tr>
        <w:tc>
          <w:tcPr>
            <w:tcW w:type="dxa" w:w="2880"/>
          </w:tcPr>
          <w:p>
            <w:r>
              <w:rPr>
                <w:sz w:val="18"/>
              </w:rPr>
              <w:t>VECTOR_STORE / QDRANT_URL / QDRANT_API_KEY</w:t>
            </w:r>
          </w:p>
        </w:tc>
        <w:tc>
          <w:tcPr>
            <w:tcW w:type="dxa" w:w="2880"/>
          </w:tcPr>
          <w:p>
            <w:r>
              <w:rPr>
                <w:sz w:val="18"/>
              </w:rPr>
              <w:t>RAG</w:t>
            </w:r>
          </w:p>
        </w:tc>
        <w:tc>
          <w:tcPr>
            <w:tcW w:type="dxa" w:w="2880"/>
          </w:tcPr>
          <w:p>
            <w:r>
              <w:rPr>
                <w:sz w:val="18"/>
              </w:rPr>
              <w:t>inprocess (default) o qdrant.</w:t>
            </w:r>
          </w:p>
        </w:tc>
      </w:tr>
      <w:tr>
        <w:tc>
          <w:tcPr>
            <w:tcW w:type="dxa" w:w="2880"/>
          </w:tcPr>
          <w:p>
            <w:r>
              <w:rPr>
                <w:sz w:val="18"/>
              </w:rPr>
              <w:t>EMBEDDINGS_PROVIDER / EMBEDDINGS_MODEL / EMBEDDINGS_DIM</w:t>
            </w:r>
          </w:p>
        </w:tc>
        <w:tc>
          <w:tcPr>
            <w:tcW w:type="dxa" w:w="2880"/>
          </w:tcPr>
          <w:p>
            <w:r>
              <w:rPr>
                <w:sz w:val="18"/>
              </w:rPr>
              <w:t>RAG</w:t>
            </w:r>
          </w:p>
        </w:tc>
        <w:tc>
          <w:tcPr>
            <w:tcW w:type="dxa" w:w="2880"/>
          </w:tcPr>
          <w:p>
            <w:r>
              <w:rPr>
                <w:sz w:val="18"/>
              </w:rPr>
              <w:t>Fuente de embeddings.</w:t>
            </w:r>
          </w:p>
        </w:tc>
      </w:tr>
      <w:tr>
        <w:tc>
          <w:tcPr>
            <w:tcW w:type="dxa" w:w="2880"/>
          </w:tcPr>
          <w:p>
            <w:r>
              <w:rPr>
                <w:sz w:val="18"/>
              </w:rPr>
              <w:t>N8N_ENABLED / N8N_WEBHOOK_BASE_URL / N8N_API_BASE_URL / N8N_API_KEY / N8N_AUTO_PROVISION</w:t>
            </w:r>
          </w:p>
        </w:tc>
        <w:tc>
          <w:tcPr>
            <w:tcW w:type="dxa" w:w="2880"/>
          </w:tcPr>
          <w:p>
            <w:r>
              <w:rPr>
                <w:sz w:val="18"/>
              </w:rPr>
              <w:t>Workflows</w:t>
            </w:r>
          </w:p>
        </w:tc>
        <w:tc>
          <w:tcPr>
            <w:tcW w:type="dxa" w:w="2880"/>
          </w:tcPr>
          <w:p>
            <w:r>
              <w:rPr>
                <w:sz w:val="18"/>
              </w:rPr>
              <w:t>Integración n8n gestionada.</w:t>
            </w:r>
          </w:p>
        </w:tc>
      </w:tr>
      <w:tr>
        <w:tc>
          <w:tcPr>
            <w:tcW w:type="dxa" w:w="2880"/>
          </w:tcPr>
          <w:p>
            <w:r>
              <w:rPr>
                <w:sz w:val="18"/>
              </w:rPr>
              <w:t>MICROSOFT_* / GOOGLE_*</w:t>
            </w:r>
          </w:p>
        </w:tc>
        <w:tc>
          <w:tcPr>
            <w:tcW w:type="dxa" w:w="2880"/>
          </w:tcPr>
          <w:p>
            <w:r>
              <w:rPr>
                <w:sz w:val="18"/>
              </w:rPr>
              <w:t>OAuth</w:t>
            </w:r>
          </w:p>
        </w:tc>
        <w:tc>
          <w:tcPr>
            <w:tcW w:type="dxa" w:w="2880"/>
          </w:tcPr>
          <w:p>
            <w:r>
              <w:rPr>
                <w:sz w:val="18"/>
              </w:rPr>
              <w:t>Client id/secret/redirect + scopes de correo y acciones.</w:t>
            </w:r>
          </w:p>
        </w:tc>
      </w:tr>
      <w:tr>
        <w:tc>
          <w:tcPr>
            <w:tcW w:type="dxa" w:w="2880"/>
          </w:tcPr>
          <w:p>
            <w:r>
              <w:rPr>
                <w:sz w:val="18"/>
              </w:rPr>
              <w:t>SSO_ENABLED / OIDC_*</w:t>
            </w:r>
          </w:p>
        </w:tc>
        <w:tc>
          <w:tcPr>
            <w:tcW w:type="dxa" w:w="2880"/>
          </w:tcPr>
          <w:p>
            <w:r>
              <w:rPr>
                <w:sz w:val="18"/>
              </w:rPr>
              <w:t>SSO</w:t>
            </w:r>
          </w:p>
        </w:tc>
        <w:tc>
          <w:tcPr>
            <w:tcW w:type="dxa" w:w="2880"/>
          </w:tcPr>
          <w:p>
            <w:r>
              <w:rPr>
                <w:sz w:val="18"/>
              </w:rPr>
              <w:t>Inicio de sesión federado opcional.</w:t>
            </w:r>
          </w:p>
        </w:tc>
      </w:tr>
      <w:tr>
        <w:tc>
          <w:tcPr>
            <w:tcW w:type="dxa" w:w="2880"/>
          </w:tcPr>
          <w:p>
            <w:r>
              <w:rPr>
                <w:sz w:val="18"/>
              </w:rPr>
              <w:t>NEXT_PUBLIC_API_BASE_URL</w:t>
            </w:r>
          </w:p>
        </w:tc>
        <w:tc>
          <w:tcPr>
            <w:tcW w:type="dxa" w:w="2880"/>
          </w:tcPr>
          <w:p>
            <w:r>
              <w:rPr>
                <w:sz w:val="18"/>
              </w:rPr>
              <w:t>Frontend (Vercel)</w:t>
            </w:r>
          </w:p>
        </w:tc>
        <w:tc>
          <w:tcPr>
            <w:tcW w:type="dxa" w:w="2880"/>
          </w:tcPr>
          <w:p>
            <w:r>
              <w:rPr>
                <w:sz w:val="18"/>
              </w:rPr>
              <w:t>URL pública del backend (sin / final).</w:t>
            </w:r>
          </w:p>
        </w:tc>
      </w:tr>
    </w:tbl>
    <w:p/>
    <w:p>
      <w:pPr>
        <w:pStyle w:val="Heading2"/>
      </w:pPr>
      <w:r>
        <w:t>Checklist de puesta a punto</w:t>
      </w:r>
    </w:p>
    <w:p>
      <w:pPr>
        <w:pStyle w:val="ListBullet"/>
      </w:pPr>
      <w:r>
        <w:t>SECRET_KEY, DATABASE_URL (Supabase), CORS_ORIGINS.</w:t>
      </w:r>
    </w:p>
    <w:p>
      <w:pPr>
        <w:pStyle w:val="ListBullet"/>
      </w:pPr>
      <w:r>
        <w:t>NEXT_PUBLIC_API_BASE_URL en Vercel.</w:t>
      </w:r>
    </w:p>
    <w:p>
      <w:pPr>
        <w:pStyle w:val="ListBullet"/>
      </w:pPr>
      <w:r>
        <w:t>NaN: OPEN_ENABLED/_API_KEY/_BASE_URL/_MODEL (+ ALLOW_CLOUD_FALLBACK si aplica).</w:t>
      </w:r>
    </w:p>
    <w:p>
      <w:pPr>
        <w:pStyle w:val="ListBullet"/>
      </w:pPr>
      <w:r>
        <w:t>Premium: PREMIUM_* (opcional) + Probar conexión en Admin → Modelos externos.</w:t>
      </w:r>
    </w:p>
    <w:p>
      <w:pPr>
        <w:pStyle w:val="ListBullet"/>
      </w:pPr>
      <w:r>
        <w:t>Microsoft/Google: client id/secret/redirect + reconectar para scopes de acciones.</w:t>
      </w:r>
    </w:p>
    <w:p>
      <w:pPr>
        <w:pStyle w:val="ListBullet"/>
      </w:pPr>
      <w:r>
        <w:t>n8n: N8N_ENABLED/_WEBHOOK_BASE_URL/_API_BASE_URL/_API_KEY.</w:t>
      </w:r>
    </w:p>
    <w:p>
      <w:pPr>
        <w:pStyle w:val="ListBullet"/>
      </w:pPr>
      <w:r>
        <w:t>Marca (white-label), plan/asientos, dominio + SSL.</w:t>
      </w:r>
    </w:p>
    <w:p>
      <w:pPr>
        <w:pStyle w:val="ListBullet"/>
      </w:pPr>
      <w:r>
        <w:t>Proteger ramas main/qa en GitHub.</w:t>
      </w:r>
    </w:p>
    <w:p>
      <w:pPr>
        <w:pStyle w:val="Heading1"/>
      </w:pPr>
      <w:r>
        <w:t>15. Operación y soporte</w:t>
      </w:r>
    </w:p>
    <w:p>
      <w:pPr>
        <w:pStyle w:val="ListBullet"/>
      </w:pPr>
      <w:r>
        <w:rPr>
          <w:b/>
        </w:rPr>
        <w:t xml:space="preserve">Ayuda in-app: </w:t>
      </w:r>
      <w:r>
        <w:t>guías paso a paso en español + ayuda contextual (popup) por sección.</w:t>
      </w:r>
    </w:p>
    <w:p>
      <w:pPr>
        <w:pStyle w:val="ListBullet"/>
      </w:pPr>
      <w:r>
        <w:rPr>
          <w:b/>
        </w:rPr>
        <w:t xml:space="preserve">Salud: </w:t>
      </w:r>
      <w:r>
        <w:t>el backend expone /health; Render Starter evita que el backend se «duerma».</w:t>
      </w:r>
    </w:p>
    <w:p>
      <w:pPr>
        <w:pStyle w:val="ListBullet"/>
      </w:pPr>
      <w:r>
        <w:rPr>
          <w:b/>
        </w:rPr>
        <w:t xml:space="preserve">Primer acceso lento: </w:t>
      </w:r>
      <w:r>
        <w:t>si el plan duerme por inactividad, el primer request lo despierta (~50 s).</w:t>
      </w:r>
    </w:p>
    <w:p>
      <w:pPr>
        <w:pStyle w:val="ListBullet"/>
      </w:pPr>
      <w:r>
        <w:rPr>
          <w:b/>
        </w:rPr>
        <w:t xml:space="preserve">Contenido genérico (mock): </w:t>
      </w:r>
      <w:r>
        <w:t>indica que la ruta no tiene modelo real conectado: configúralo en Admin.</w:t>
      </w:r>
    </w:p>
    <w:p>
      <w:pPr>
        <w:pStyle w:val="Heading1"/>
      </w:pPr>
      <w:r>
        <w:t>16. Planes y licenciamiento</w:t>
      </w:r>
    </w:p>
    <w:p>
      <w:r>
        <w:rPr>
          <w:b w:val="0"/>
          <w:i w:val="0"/>
          <w:color w:val="334155"/>
          <w:sz w:val="21"/>
        </w:rPr>
        <w:t>Planes (MXN) por asiento con setup + anual: Emprende / Negocio / Empresa / Gobierno. El alta de usuarios respeta el número de asientos licenciados (enforcement) y el estado de la suscripción. El panel de Admin incluye un estimador de costo.</w:t>
      </w:r>
    </w:p>
    <w:p>
      <w:pPr>
        <w:pStyle w:val="Heading1"/>
      </w:pPr>
      <w:r>
        <w:t>17. Roadmap y pendientes</w:t>
      </w:r>
    </w:p>
    <w:p>
      <w:pPr>
        <w:pStyle w:val="ListBullet"/>
      </w:pPr>
      <w:r>
        <w:rPr>
          <w:b/>
        </w:rPr>
        <w:t xml:space="preserve">Catálogos de configuración empresarial: </w:t>
      </w:r>
      <w:r>
        <w:t>en definición con el cliente.</w:t>
      </w:r>
    </w:p>
    <w:p>
      <w:pPr>
        <w:pStyle w:val="ListBullet"/>
      </w:pPr>
      <w:r>
        <w:rPr>
          <w:b/>
        </w:rPr>
        <w:t xml:space="preserve">TTS/STT (NaN kokoro/whisper): </w:t>
      </w:r>
      <w:r>
        <w:t>voz y transcripción de audio hacia el RAG.</w:t>
      </w:r>
    </w:p>
    <w:p>
      <w:pPr>
        <w:pStyle w:val="ListBullet"/>
      </w:pPr>
      <w:r>
        <w:rPr>
          <w:b/>
        </w:rPr>
        <w:t xml:space="preserve">SFTP: </w:t>
      </w:r>
      <w:r>
        <w:t>conector para sistemas legados (requiere paramiko).</w:t>
      </w:r>
    </w:p>
    <w:p>
      <w:pPr>
        <w:pStyle w:val="ListBullet"/>
      </w:pPr>
      <w:r>
        <w:rPr>
          <w:b/>
        </w:rPr>
        <w:t xml:space="preserve">Pendientes del cliente: </w:t>
      </w:r>
      <w:r>
        <w:t>proteger ramas, reconectar Microsoft con scopes nuevos, configurar premium/NaN.</w:t>
      </w:r>
    </w:p>
    <w:p>
      <w:r>
        <w:br w:type="page"/>
      </w:r>
    </w:p>
    <w:p>
      <w:pPr>
        <w:pStyle w:val="Heading1"/>
      </w:pPr>
      <w:r>
        <w:t>Apéndice A · Catálogo de endpoints de la API</w:t>
      </w:r>
    </w:p>
    <w:p>
      <w:r>
        <w:rPr>
          <w:b w:val="0"/>
          <w:i w:val="0"/>
          <w:color w:val="64748B"/>
          <w:sz w:val="21"/>
        </w:rPr>
        <w:t>La API expone 67+ rutas (selección agrupada de 131 totales):</w:t>
      </w:r>
    </w:p>
    <w:p>
      <w:pPr>
        <w:pStyle w:val="Heading3"/>
      </w:pPr>
      <w:r>
        <w:t>Autenticación / cuenta</w:t>
      </w:r>
    </w:p>
    <w:p>
      <w:pPr>
        <w:pStyle w:val="ListBullet"/>
      </w:pPr>
      <w:r>
        <w:t>POST /auth/login</w:t>
      </w:r>
    </w:p>
    <w:p>
      <w:pPr>
        <w:pStyle w:val="ListBullet"/>
      </w:pPr>
      <w:r>
        <w:t>GET /me</w:t>
      </w:r>
    </w:p>
    <w:p>
      <w:pPr>
        <w:pStyle w:val="ListBullet"/>
      </w:pPr>
      <w:r>
        <w:t>GET /account</w:t>
      </w:r>
    </w:p>
    <w:p>
      <w:pPr>
        <w:pStyle w:val="ListBullet"/>
      </w:pPr>
      <w:r>
        <w:t>GET /auth/sso/config</w:t>
      </w:r>
    </w:p>
    <w:p>
      <w:pPr>
        <w:pStyle w:val="ListBullet"/>
      </w:pPr>
      <w:r>
        <w:t>GET /auth/sso/callback</w:t>
      </w:r>
    </w:p>
    <w:p>
      <w:pPr>
        <w:pStyle w:val="Heading3"/>
      </w:pPr>
      <w:r>
        <w:t>Chat y casos</w:t>
      </w:r>
    </w:p>
    <w:p>
      <w:pPr>
        <w:pStyle w:val="ListBullet"/>
      </w:pPr>
      <w:r>
        <w:t>POST /chat</w:t>
      </w:r>
    </w:p>
    <w:p>
      <w:pPr>
        <w:pStyle w:val="ListBullet"/>
      </w:pPr>
      <w:r>
        <w:t>POST /chat/preview</w:t>
      </w:r>
    </w:p>
    <w:p>
      <w:pPr>
        <w:pStyle w:val="ListBullet"/>
      </w:pPr>
      <w:r>
        <w:t>GET/POST /recipes</w:t>
      </w:r>
    </w:p>
    <w:p>
      <w:pPr>
        <w:pStyle w:val="ListBullet"/>
      </w:pPr>
      <w:r>
        <w:t>POST /recipes/{id}/start</w:t>
      </w:r>
    </w:p>
    <w:p>
      <w:pPr>
        <w:pStyle w:val="ListBullet"/>
      </w:pPr>
      <w:r>
        <w:t>POST /recipes/runs/{id}/approve</w:t>
      </w:r>
    </w:p>
    <w:p>
      <w:pPr>
        <w:pStyle w:val="ListBullet"/>
      </w:pPr>
      <w:r>
        <w:t>POST /recipes/runs/{id}/export</w:t>
      </w:r>
    </w:p>
    <w:p>
      <w:pPr>
        <w:pStyle w:val="ListBullet"/>
      </w:pPr>
      <w:r>
        <w:t>POST /v1/cases/{recipe_id}/run</w:t>
      </w:r>
    </w:p>
    <w:p>
      <w:pPr>
        <w:pStyle w:val="Heading3"/>
      </w:pPr>
      <w:r>
        <w:t>Documentos y RAG</w:t>
      </w:r>
    </w:p>
    <w:p>
      <w:pPr>
        <w:pStyle w:val="ListBullet"/>
      </w:pPr>
      <w:r>
        <w:t>GET/POST /documents</w:t>
      </w:r>
    </w:p>
    <w:p>
      <w:pPr>
        <w:pStyle w:val="ListBullet"/>
      </w:pPr>
      <w:r>
        <w:t>POST /documents/upload</w:t>
      </w:r>
    </w:p>
    <w:p>
      <w:pPr>
        <w:pStyle w:val="ListBullet"/>
      </w:pPr>
      <w:r>
        <w:t>GET/POST /documents/categories</w:t>
      </w:r>
    </w:p>
    <w:p>
      <w:pPr>
        <w:pStyle w:val="ListBullet"/>
      </w:pPr>
      <w:r>
        <w:t>DELETE /documents/{id}</w:t>
      </w:r>
    </w:p>
    <w:p>
      <w:pPr>
        <w:pStyle w:val="ListBullet"/>
      </w:pPr>
      <w:r>
        <w:t>GET /drive/files</w:t>
      </w:r>
    </w:p>
    <w:p>
      <w:pPr>
        <w:pStyle w:val="ListBullet"/>
      </w:pPr>
      <w:r>
        <w:t>POST /drive/import</w:t>
      </w:r>
    </w:p>
    <w:p>
      <w:pPr>
        <w:pStyle w:val="Heading3"/>
      </w:pPr>
      <w:r>
        <w:t>Notebooks / Memoria</w:t>
      </w:r>
    </w:p>
    <w:p>
      <w:pPr>
        <w:pStyle w:val="ListBullet"/>
      </w:pPr>
      <w:r>
        <w:t>GET/POST /notebooks</w:t>
      </w:r>
    </w:p>
    <w:p>
      <w:pPr>
        <w:pStyle w:val="ListBullet"/>
      </w:pPr>
      <w:r>
        <w:t>POST /notebooks/{id}/ask</w:t>
      </w:r>
    </w:p>
    <w:p>
      <w:pPr>
        <w:pStyle w:val="ListBullet"/>
      </w:pPr>
      <w:r>
        <w:t>POST /notebooks/{id}/generate/{kind}</w:t>
      </w:r>
    </w:p>
    <w:p>
      <w:pPr>
        <w:pStyle w:val="ListBullet"/>
      </w:pPr>
      <w:r>
        <w:t>GET/POST /memory</w:t>
      </w:r>
    </w:p>
    <w:p>
      <w:pPr>
        <w:pStyle w:val="ListBullet"/>
      </w:pPr>
      <w:r>
        <w:t>GET /memory/tags</w:t>
      </w:r>
    </w:p>
    <w:p>
      <w:pPr>
        <w:pStyle w:val="ListBullet"/>
      </w:pPr>
      <w:r>
        <w:t>DELETE /memory/{id}</w:t>
      </w:r>
    </w:p>
    <w:p>
      <w:pPr>
        <w:pStyle w:val="Heading3"/>
      </w:pPr>
      <w:r>
        <w:t>Imágenes</w:t>
      </w:r>
    </w:p>
    <w:p>
      <w:pPr>
        <w:pStyle w:val="ListBullet"/>
      </w:pPr>
      <w:r>
        <w:t>GET /images/config</w:t>
      </w:r>
    </w:p>
    <w:p>
      <w:pPr>
        <w:pStyle w:val="ListBullet"/>
      </w:pPr>
      <w:r>
        <w:t>POST /images/generate</w:t>
      </w:r>
    </w:p>
    <w:p>
      <w:pPr>
        <w:pStyle w:val="ListBullet"/>
      </w:pPr>
      <w:r>
        <w:t>GET /images</w:t>
      </w:r>
    </w:p>
    <w:p>
      <w:pPr>
        <w:pStyle w:val="ListBullet"/>
      </w:pPr>
      <w:r>
        <w:t>GET /images/{id}/data</w:t>
      </w:r>
    </w:p>
    <w:p>
      <w:pPr>
        <w:pStyle w:val="ListBullet"/>
      </w:pPr>
      <w:r>
        <w:t>DELETE /images/{id}</w:t>
      </w:r>
    </w:p>
    <w:p>
      <w:pPr>
        <w:pStyle w:val="Heading3"/>
      </w:pPr>
      <w:r>
        <w:t>Acciones (toolkit)</w:t>
      </w:r>
    </w:p>
    <w:p>
      <w:pPr>
        <w:pStyle w:val="ListBullet"/>
      </w:pPr>
      <w:r>
        <w:t>GET /actions</w:t>
      </w:r>
    </w:p>
    <w:p>
      <w:pPr>
        <w:pStyle w:val="ListBullet"/>
      </w:pPr>
      <w:r>
        <w:t>POST /actions/run</w:t>
      </w:r>
    </w:p>
    <w:p>
      <w:pPr>
        <w:pStyle w:val="ListBullet"/>
      </w:pPr>
      <w:r>
        <w:t>GET /actions/requests</w:t>
      </w:r>
    </w:p>
    <w:p>
      <w:pPr>
        <w:pStyle w:val="ListBullet"/>
      </w:pPr>
      <w:r>
        <w:t>POST /actions/requests/{id}/approve</w:t>
      </w:r>
    </w:p>
    <w:p>
      <w:pPr>
        <w:pStyle w:val="ListBullet"/>
      </w:pPr>
      <w:r>
        <w:t>POST /actions/requests/{id}/reject</w:t>
      </w:r>
    </w:p>
    <w:p>
      <w:pPr>
        <w:pStyle w:val="ListBullet"/>
      </w:pPr>
      <w:r>
        <w:t>GET/DELETE /actions/grants</w:t>
      </w:r>
    </w:p>
    <w:p>
      <w:pPr>
        <w:pStyle w:val="Heading3"/>
      </w:pPr>
      <w:r>
        <w:t>Integraciones</w:t>
      </w:r>
    </w:p>
    <w:p>
      <w:pPr>
        <w:pStyle w:val="ListBullet"/>
      </w:pPr>
      <w:r>
        <w:t>GET/POST /integrations/connectors</w:t>
      </w:r>
    </w:p>
    <w:p>
      <w:pPr>
        <w:pStyle w:val="ListBullet"/>
      </w:pPr>
      <w:r>
        <w:t>POST /integrations/connectors/{id}/test</w:t>
      </w:r>
    </w:p>
    <w:p>
      <w:pPr>
        <w:pStyle w:val="ListBullet"/>
      </w:pPr>
      <w:r>
        <w:t>GET /integrations/connectors/{id}/reveal</w:t>
      </w:r>
    </w:p>
    <w:p>
      <w:pPr>
        <w:pStyle w:val="ListBullet"/>
      </w:pPr>
      <w:r>
        <w:t>GET/POST /integrations/webhooks</w:t>
      </w:r>
    </w:p>
    <w:p>
      <w:pPr>
        <w:pStyle w:val="ListBullet"/>
      </w:pPr>
      <w:r>
        <w:t>GET/POST /datasources</w:t>
      </w:r>
    </w:p>
    <w:p>
      <w:pPr>
        <w:pStyle w:val="ListBullet"/>
      </w:pPr>
      <w:r>
        <w:t>POST /datasources/import-csv</w:t>
      </w:r>
    </w:p>
    <w:p>
      <w:pPr>
        <w:pStyle w:val="ListBullet"/>
      </w:pPr>
      <w:r>
        <w:t>POST /datasources/{id}/import</w:t>
      </w:r>
    </w:p>
    <w:p>
      <w:pPr>
        <w:pStyle w:val="ListBullet"/>
      </w:pPr>
      <w:r>
        <w:t>GET /datasources/{id}/reveal</w:t>
      </w:r>
    </w:p>
    <w:p>
      <w:pPr>
        <w:pStyle w:val="ListBullet"/>
      </w:pPr>
      <w:r>
        <w:t>POST /oauth/{provider}/authorize</w:t>
      </w:r>
    </w:p>
    <w:p>
      <w:pPr>
        <w:pStyle w:val="ListBullet"/>
      </w:pPr>
      <w:r>
        <w:t>POST /oauth/imap</w:t>
      </w:r>
    </w:p>
    <w:p>
      <w:pPr>
        <w:pStyle w:val="Heading3"/>
      </w:pPr>
      <w:r>
        <w:t>Automatizaciones / workflows</w:t>
      </w:r>
    </w:p>
    <w:p>
      <w:pPr>
        <w:pStyle w:val="ListBullet"/>
      </w:pPr>
      <w:r>
        <w:t>GET/POST /automations</w:t>
      </w:r>
    </w:p>
    <w:p>
      <w:pPr>
        <w:pStyle w:val="ListBullet"/>
      </w:pPr>
      <w:r>
        <w:t>POST /automations/from-template</w:t>
      </w:r>
    </w:p>
    <w:p>
      <w:pPr>
        <w:pStyle w:val="ListBullet"/>
      </w:pPr>
      <w:r>
        <w:t>POST /automations/{id}/run</w:t>
      </w:r>
    </w:p>
    <w:p>
      <w:pPr>
        <w:pStyle w:val="ListBullet"/>
      </w:pPr>
      <w:r>
        <w:t>POST /automations/run-due</w:t>
      </w:r>
    </w:p>
    <w:p>
      <w:pPr>
        <w:pStyle w:val="ListBullet"/>
      </w:pPr>
      <w:r>
        <w:t>GET /flowcharts</w:t>
      </w:r>
    </w:p>
    <w:p>
      <w:pPr>
        <w:pStyle w:val="Heading3"/>
      </w:pPr>
      <w:r>
        <w:t>Admin / gobierno</w:t>
      </w:r>
    </w:p>
    <w:p>
      <w:pPr>
        <w:pStyle w:val="ListBullet"/>
      </w:pPr>
      <w:r>
        <w:t>GET/PUT /admin/providers</w:t>
      </w:r>
    </w:p>
    <w:p>
      <w:pPr>
        <w:pStyle w:val="ListBullet"/>
      </w:pPr>
      <w:r>
        <w:t>POST /admin/providers/{route}/test</w:t>
      </w:r>
    </w:p>
    <w:p>
      <w:pPr>
        <w:pStyle w:val="ListBullet"/>
      </w:pPr>
      <w:r>
        <w:t>GET/PUT /admin/efficiency</w:t>
      </w:r>
    </w:p>
    <w:p>
      <w:pPr>
        <w:pStyle w:val="ListBullet"/>
      </w:pPr>
      <w:r>
        <w:t>GET /admin/routes</w:t>
      </w:r>
    </w:p>
    <w:p>
      <w:pPr>
        <w:pStyle w:val="ListBullet"/>
      </w:pPr>
      <w:r>
        <w:t>GET /admin/security</w:t>
      </w:r>
    </w:p>
    <w:p>
      <w:pPr>
        <w:pStyle w:val="ListBullet"/>
      </w:pPr>
      <w:r>
        <w:t>GET/POST /admin/users</w:t>
      </w:r>
    </w:p>
    <w:p>
      <w:pPr>
        <w:pStyle w:val="ListBullet"/>
      </w:pPr>
      <w:r>
        <w:t>GET /admin/tenants</w:t>
      </w:r>
    </w:p>
    <w:p>
      <w:pPr>
        <w:pStyle w:val="ListBullet"/>
      </w:pPr>
      <w:r>
        <w:t>GET /admin/billing</w:t>
      </w:r>
    </w:p>
    <w:p>
      <w:pPr>
        <w:pStyle w:val="ListBullet"/>
      </w:pPr>
      <w:r>
        <w:t>GET/POST /admin/api-keys</w:t>
      </w:r>
    </w:p>
    <w:p>
      <w:pPr>
        <w:pStyle w:val="ListBullet"/>
      </w:pPr>
      <w:r>
        <w:t>GET /admin/n8n</w:t>
      </w:r>
    </w:p>
    <w:p>
      <w:pPr>
        <w:pStyle w:val="Heading3"/>
      </w:pPr>
      <w:r>
        <w:t>Auditoría / uso / salud</w:t>
      </w:r>
    </w:p>
    <w:p>
      <w:pPr>
        <w:pStyle w:val="ListBullet"/>
      </w:pPr>
      <w:r>
        <w:t>GET /audit</w:t>
      </w:r>
    </w:p>
    <w:p>
      <w:pPr>
        <w:pStyle w:val="ListBullet"/>
      </w:pPr>
      <w:r>
        <w:t>GET /audit/export</w:t>
      </w:r>
    </w:p>
    <w:p>
      <w:pPr>
        <w:pStyle w:val="ListBullet"/>
      </w:pPr>
      <w:r>
        <w:t>GET /audit/stats</w:t>
      </w:r>
    </w:p>
    <w:p>
      <w:pPr>
        <w:pStyle w:val="ListBullet"/>
      </w:pPr>
      <w:r>
        <w:t>GET /usage</w:t>
      </w:r>
    </w:p>
    <w:p>
      <w:pPr>
        <w:pStyle w:val="ListBullet"/>
      </w:pPr>
      <w:r>
        <w:t>GET /health</w:t>
      </w:r>
    </w:p>
    <w:p>
      <w:pPr>
        <w:pStyle w:val="ListBullet"/>
      </w:pPr>
      <w:r>
        <w:t>POST /v1/events</w:t>
      </w:r>
    </w:p>
    <w:p>
      <w:pPr>
        <w:pStyle w:val="ListBullet"/>
      </w:pPr>
      <w:r>
        <w:t>POST /v1/webhooks/{id}</w:t>
      </w:r>
    </w:p>
    <w:p>
      <w:pPr>
        <w:pStyle w:val="Heading1"/>
      </w:pPr>
      <w:r>
        <w:t>Apéndice B · Variables de entorno (detalle)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Variable(s)</w:t>
            </w:r>
          </w:p>
        </w:tc>
        <w:tc>
          <w:tcPr>
            <w:tcW w:type="dxa" w:w="2880"/>
          </w:tcPr>
          <w:p>
            <w:r>
              <w:rPr>
                <w:b/>
                <w:sz w:val="19"/>
              </w:rPr>
              <w:t>Grupo</w:t>
            </w:r>
          </w:p>
        </w:tc>
        <w:tc>
          <w:tcPr>
            <w:tcW w:type="dxa" w:w="2880"/>
          </w:tcPr>
          <w:p>
            <w:r>
              <w:rPr>
                <w:b/>
                <w:sz w:val="19"/>
              </w:rPr>
              <w:t>Descripción</w:t>
            </w:r>
          </w:p>
        </w:tc>
      </w:tr>
      <w:tr>
        <w:tc>
          <w:tcPr>
            <w:tcW w:type="dxa" w:w="2880"/>
          </w:tcPr>
          <w:p>
            <w:r>
              <w:rPr>
                <w:sz w:val="18"/>
              </w:rPr>
              <w:t>SECRET_KEY</w:t>
            </w:r>
          </w:p>
        </w:tc>
        <w:tc>
          <w:tcPr>
            <w:tcW w:type="dxa" w:w="2880"/>
          </w:tcPr>
          <w:p>
            <w:r>
              <w:rPr>
                <w:sz w:val="18"/>
              </w:rPr>
              <w:t>Núcleo</w:t>
            </w:r>
          </w:p>
        </w:tc>
        <w:tc>
          <w:tcPr>
            <w:tcW w:type="dxa" w:w="2880"/>
          </w:tcPr>
          <w:p>
            <w:r>
              <w:rPr>
                <w:sz w:val="18"/>
              </w:rPr>
              <w:t>Clave de firma JWT (32+ caracteres).</w:t>
            </w:r>
          </w:p>
        </w:tc>
      </w:tr>
      <w:tr>
        <w:tc>
          <w:tcPr>
            <w:tcW w:type="dxa" w:w="2880"/>
          </w:tcPr>
          <w:p>
            <w:r>
              <w:rPr>
                <w:sz w:val="18"/>
              </w:rPr>
              <w:t>DATABASE_URL</w:t>
            </w:r>
          </w:p>
        </w:tc>
        <w:tc>
          <w:tcPr>
            <w:tcW w:type="dxa" w:w="2880"/>
          </w:tcPr>
          <w:p>
            <w:r>
              <w:rPr>
                <w:sz w:val="18"/>
              </w:rPr>
              <w:t>Núcleo</w:t>
            </w:r>
          </w:p>
        </w:tc>
        <w:tc>
          <w:tcPr>
            <w:tcW w:type="dxa" w:w="2880"/>
          </w:tcPr>
          <w:p>
            <w:r>
              <w:rPr>
                <w:sz w:val="18"/>
              </w:rPr>
              <w:t>Postgres (Supabase Session Pooler). Sin ella, SQLite efímero.</w:t>
            </w:r>
          </w:p>
        </w:tc>
      </w:tr>
      <w:tr>
        <w:tc>
          <w:tcPr>
            <w:tcW w:type="dxa" w:w="2880"/>
          </w:tcPr>
          <w:p>
            <w:r>
              <w:rPr>
                <w:sz w:val="18"/>
              </w:rPr>
              <w:t>CORS_ORIGINS / CORS_ORIGIN_REGEX</w:t>
            </w:r>
          </w:p>
        </w:tc>
        <w:tc>
          <w:tcPr>
            <w:tcW w:type="dxa" w:w="2880"/>
          </w:tcPr>
          <w:p>
            <w:r>
              <w:rPr>
                <w:sz w:val="18"/>
              </w:rPr>
              <w:t>Núcleo</w:t>
            </w:r>
          </w:p>
        </w:tc>
        <w:tc>
          <w:tcPr>
            <w:tcW w:type="dxa" w:w="2880"/>
          </w:tcPr>
          <w:p>
            <w:r>
              <w:rPr>
                <w:sz w:val="18"/>
              </w:rPr>
              <w:t>Orígenes permitidos del portal.</w:t>
            </w:r>
          </w:p>
        </w:tc>
      </w:tr>
      <w:tr>
        <w:tc>
          <w:tcPr>
            <w:tcW w:type="dxa" w:w="2880"/>
          </w:tcPr>
          <w:p>
            <w:r>
              <w:rPr>
                <w:sz w:val="18"/>
              </w:rPr>
              <w:t>APP_ENV</w:t>
            </w:r>
          </w:p>
        </w:tc>
        <w:tc>
          <w:tcPr>
            <w:tcW w:type="dxa" w:w="2880"/>
          </w:tcPr>
          <w:p>
            <w:r>
              <w:rPr>
                <w:sz w:val="18"/>
              </w:rPr>
              <w:t>Núcleo</w:t>
            </w:r>
          </w:p>
        </w:tc>
        <w:tc>
          <w:tcPr>
            <w:tcW w:type="dxa" w:w="2880"/>
          </w:tcPr>
          <w:p>
            <w:r>
              <w:rPr>
                <w:sz w:val="18"/>
              </w:rPr>
              <w:t>production / development.</w:t>
            </w:r>
          </w:p>
        </w:tc>
      </w:tr>
      <w:tr>
        <w:tc>
          <w:tcPr>
            <w:tcW w:type="dxa" w:w="2880"/>
          </w:tcPr>
          <w:p>
            <w:r>
              <w:rPr>
                <w:sz w:val="18"/>
              </w:rPr>
              <w:t>OPEN_ENABLED / OPEN_API_KEY / OPEN_BASE_URL / OPEN_MODEL</w:t>
            </w:r>
          </w:p>
        </w:tc>
        <w:tc>
          <w:tcPr>
            <w:tcW w:type="dxa" w:w="2880"/>
          </w:tcPr>
          <w:p>
            <w:r>
              <w:rPr>
                <w:sz w:val="18"/>
              </w:rPr>
              <w:t>Modelos</w:t>
            </w:r>
          </w:p>
        </w:tc>
        <w:tc>
          <w:tcPr>
            <w:tcW w:type="dxa" w:w="2880"/>
          </w:tcPr>
          <w:p>
            <w:r>
              <w:rPr>
                <w:sz w:val="18"/>
              </w:rPr>
              <w:t>Ruta abierta — NaN Builders.</w:t>
            </w:r>
          </w:p>
        </w:tc>
      </w:tr>
      <w:tr>
        <w:tc>
          <w:tcPr>
            <w:tcW w:type="dxa" w:w="2880"/>
          </w:tcPr>
          <w:p>
            <w:r>
              <w:rPr>
                <w:sz w:val="18"/>
              </w:rPr>
              <w:t>PREMIUM_ENABLED / PREMIUM_API_KEY / PREMIUM_BASE_URL / PREMIUM_MODEL</w:t>
            </w:r>
          </w:p>
        </w:tc>
        <w:tc>
          <w:tcPr>
            <w:tcW w:type="dxa" w:w="2880"/>
          </w:tcPr>
          <w:p>
            <w:r>
              <w:rPr>
                <w:sz w:val="18"/>
              </w:rPr>
              <w:t>Modelos</w:t>
            </w:r>
          </w:p>
        </w:tc>
        <w:tc>
          <w:tcPr>
            <w:tcW w:type="dxa" w:w="2880"/>
          </w:tcPr>
          <w:p>
            <w:r>
              <w:rPr>
                <w:sz w:val="18"/>
              </w:rPr>
              <w:t>Ruta premium (OpenAI/Claude/Gemini compatible).</w:t>
            </w:r>
          </w:p>
        </w:tc>
      </w:tr>
      <w:tr>
        <w:tc>
          <w:tcPr>
            <w:tcW w:type="dxa" w:w="2880"/>
          </w:tcPr>
          <w:p>
            <w:r>
              <w:rPr>
                <w:sz w:val="18"/>
              </w:rPr>
              <w:t>LOCAL_ENABLED / LOCAL_BASE_URL / LOCAL_MODEL</w:t>
            </w:r>
          </w:p>
        </w:tc>
        <w:tc>
          <w:tcPr>
            <w:tcW w:type="dxa" w:w="2880"/>
          </w:tcPr>
          <w:p>
            <w:r>
              <w:rPr>
                <w:sz w:val="18"/>
              </w:rPr>
              <w:t>Modelos</w:t>
            </w:r>
          </w:p>
        </w:tc>
        <w:tc>
          <w:tcPr>
            <w:tcW w:type="dxa" w:w="2880"/>
          </w:tcPr>
          <w:p>
            <w:r>
              <w:rPr>
                <w:sz w:val="18"/>
              </w:rPr>
              <w:t>Ruta local (Ollama).</w:t>
            </w:r>
          </w:p>
        </w:tc>
      </w:tr>
      <w:tr>
        <w:tc>
          <w:tcPr>
            <w:tcW w:type="dxa" w:w="2880"/>
          </w:tcPr>
          <w:p>
            <w:r>
              <w:rPr>
                <w:sz w:val="18"/>
              </w:rPr>
              <w:t>VPC_ENABLED / VPC_BASE_URL / VPC_API_KEY / VPC_MODEL</w:t>
            </w:r>
          </w:p>
        </w:tc>
        <w:tc>
          <w:tcPr>
            <w:tcW w:type="dxa" w:w="2880"/>
          </w:tcPr>
          <w:p>
            <w:r>
              <w:rPr>
                <w:sz w:val="18"/>
              </w:rPr>
              <w:t>Modelos</w:t>
            </w:r>
          </w:p>
        </w:tc>
        <w:tc>
          <w:tcPr>
            <w:tcW w:type="dxa" w:w="2880"/>
          </w:tcPr>
          <w:p>
            <w:r>
              <w:rPr>
                <w:sz w:val="18"/>
              </w:rPr>
              <w:t>Ruta VPC (vLLM/TGI).</w:t>
            </w:r>
          </w:p>
        </w:tc>
      </w:tr>
      <w:tr>
        <w:tc>
          <w:tcPr>
            <w:tcW w:type="dxa" w:w="2880"/>
          </w:tcPr>
          <w:p>
            <w:r>
              <w:rPr>
                <w:sz w:val="18"/>
              </w:rPr>
              <w:t>ALLOW_CLOUD_FALLBACK</w:t>
            </w:r>
          </w:p>
        </w:tc>
        <w:tc>
          <w:tcPr>
            <w:tcW w:type="dxa" w:w="2880"/>
          </w:tcPr>
          <w:p>
            <w:r>
              <w:rPr>
                <w:sz w:val="18"/>
              </w:rPr>
              <w:t>Modelos</w:t>
            </w:r>
          </w:p>
        </w:tc>
        <w:tc>
          <w:tcPr>
            <w:tcW w:type="dxa" w:w="2880"/>
          </w:tcPr>
          <w:p>
            <w:r>
              <w:rPr>
                <w:sz w:val="18"/>
              </w:rPr>
              <w:t>Permite subir a nube si la ruta privada no tiene modelo real (opt-in).</w:t>
            </w:r>
          </w:p>
        </w:tc>
      </w:tr>
      <w:tr>
        <w:tc>
          <w:tcPr>
            <w:tcW w:type="dxa" w:w="2880"/>
          </w:tcPr>
          <w:p>
            <w:r>
              <w:rPr>
                <w:sz w:val="18"/>
              </w:rPr>
              <w:t>CONDENSE_ENABLED / CONDENSE_THRESHOLD_CHARS / MAX_TOKENS_PER_REQUEST</w:t>
            </w:r>
          </w:p>
        </w:tc>
        <w:tc>
          <w:tcPr>
            <w:tcW w:type="dxa" w:w="2880"/>
          </w:tcPr>
          <w:p>
            <w:r>
              <w:rPr>
                <w:sz w:val="18"/>
              </w:rPr>
              <w:t>Eficiencia</w:t>
            </w:r>
          </w:p>
        </w:tc>
        <w:tc>
          <w:tcPr>
            <w:tcW w:type="dxa" w:w="2880"/>
          </w:tcPr>
          <w:p>
            <w:r>
              <w:rPr>
                <w:sz w:val="18"/>
              </w:rPr>
              <w:t>Condensación + tope de gasto.</w:t>
            </w:r>
          </w:p>
        </w:tc>
      </w:tr>
      <w:tr>
        <w:tc>
          <w:tcPr>
            <w:tcW w:type="dxa" w:w="2880"/>
          </w:tcPr>
          <w:p>
            <w:r>
              <w:rPr>
                <w:sz w:val="18"/>
              </w:rPr>
              <w:t>RERANK_ENABLED / RERANK_MODEL / RERANK_CANDIDATES</w:t>
            </w:r>
          </w:p>
        </w:tc>
        <w:tc>
          <w:tcPr>
            <w:tcW w:type="dxa" w:w="2880"/>
          </w:tcPr>
          <w:p>
            <w:r>
              <w:rPr>
                <w:sz w:val="18"/>
              </w:rPr>
              <w:t>Eficiencia</w:t>
            </w:r>
          </w:p>
        </w:tc>
        <w:tc>
          <w:tcPr>
            <w:tcW w:type="dxa" w:w="2880"/>
          </w:tcPr>
          <w:p>
            <w:r>
              <w:rPr>
                <w:sz w:val="18"/>
              </w:rPr>
              <w:t>Reranking del RAG (NaN).</w:t>
            </w:r>
          </w:p>
        </w:tc>
      </w:tr>
      <w:tr>
        <w:tc>
          <w:tcPr>
            <w:tcW w:type="dxa" w:w="2880"/>
          </w:tcPr>
          <w:p>
            <w:r>
              <w:rPr>
                <w:sz w:val="18"/>
              </w:rPr>
              <w:t>ENCRYPTION_ENABLED / MASTER_KMS_KEY / KMS_KEY_VERSION</w:t>
            </w:r>
          </w:p>
        </w:tc>
        <w:tc>
          <w:tcPr>
            <w:tcW w:type="dxa" w:w="2880"/>
          </w:tcPr>
          <w:p>
            <w:r>
              <w:rPr>
                <w:sz w:val="18"/>
              </w:rPr>
              <w:t>Seguridad</w:t>
            </w:r>
          </w:p>
        </w:tc>
        <w:tc>
          <w:tcPr>
            <w:tcW w:type="dxa" w:w="2880"/>
          </w:tcPr>
          <w:p>
            <w:r>
              <w:rPr>
                <w:sz w:val="18"/>
              </w:rPr>
              <w:t>Cifrado en reposo AES-256-GCM.</w:t>
            </w:r>
          </w:p>
        </w:tc>
      </w:tr>
      <w:tr>
        <w:tc>
          <w:tcPr>
            <w:tcW w:type="dxa" w:w="2880"/>
          </w:tcPr>
          <w:p>
            <w:r>
              <w:rPr>
                <w:sz w:val="18"/>
              </w:rPr>
              <w:t>VECTOR_STORE / QDRANT_URL / QDRANT_API_KEY</w:t>
            </w:r>
          </w:p>
        </w:tc>
        <w:tc>
          <w:tcPr>
            <w:tcW w:type="dxa" w:w="2880"/>
          </w:tcPr>
          <w:p>
            <w:r>
              <w:rPr>
                <w:sz w:val="18"/>
              </w:rPr>
              <w:t>RAG</w:t>
            </w:r>
          </w:p>
        </w:tc>
        <w:tc>
          <w:tcPr>
            <w:tcW w:type="dxa" w:w="2880"/>
          </w:tcPr>
          <w:p>
            <w:r>
              <w:rPr>
                <w:sz w:val="18"/>
              </w:rPr>
              <w:t>inprocess (default) o qdrant.</w:t>
            </w:r>
          </w:p>
        </w:tc>
      </w:tr>
      <w:tr>
        <w:tc>
          <w:tcPr>
            <w:tcW w:type="dxa" w:w="2880"/>
          </w:tcPr>
          <w:p>
            <w:r>
              <w:rPr>
                <w:sz w:val="18"/>
              </w:rPr>
              <w:t>EMBEDDINGS_PROVIDER / EMBEDDINGS_MODEL / EMBEDDINGS_DIM</w:t>
            </w:r>
          </w:p>
        </w:tc>
        <w:tc>
          <w:tcPr>
            <w:tcW w:type="dxa" w:w="2880"/>
          </w:tcPr>
          <w:p>
            <w:r>
              <w:rPr>
                <w:sz w:val="18"/>
              </w:rPr>
              <w:t>RAG</w:t>
            </w:r>
          </w:p>
        </w:tc>
        <w:tc>
          <w:tcPr>
            <w:tcW w:type="dxa" w:w="2880"/>
          </w:tcPr>
          <w:p>
            <w:r>
              <w:rPr>
                <w:sz w:val="18"/>
              </w:rPr>
              <w:t>Fuente de embeddings.</w:t>
            </w:r>
          </w:p>
        </w:tc>
      </w:tr>
      <w:tr>
        <w:tc>
          <w:tcPr>
            <w:tcW w:type="dxa" w:w="2880"/>
          </w:tcPr>
          <w:p>
            <w:r>
              <w:rPr>
                <w:sz w:val="18"/>
              </w:rPr>
              <w:t>N8N_ENABLED / N8N_WEBHOOK_BASE_URL / N8N_API_BASE_URL / N8N_API_KEY / N8N_AUTO_PROVISION</w:t>
            </w:r>
          </w:p>
        </w:tc>
        <w:tc>
          <w:tcPr>
            <w:tcW w:type="dxa" w:w="2880"/>
          </w:tcPr>
          <w:p>
            <w:r>
              <w:rPr>
                <w:sz w:val="18"/>
              </w:rPr>
              <w:t>Workflows</w:t>
            </w:r>
          </w:p>
        </w:tc>
        <w:tc>
          <w:tcPr>
            <w:tcW w:type="dxa" w:w="2880"/>
          </w:tcPr>
          <w:p>
            <w:r>
              <w:rPr>
                <w:sz w:val="18"/>
              </w:rPr>
              <w:t>Integración n8n gestionada.</w:t>
            </w:r>
          </w:p>
        </w:tc>
      </w:tr>
      <w:tr>
        <w:tc>
          <w:tcPr>
            <w:tcW w:type="dxa" w:w="2880"/>
          </w:tcPr>
          <w:p>
            <w:r>
              <w:rPr>
                <w:sz w:val="18"/>
              </w:rPr>
              <w:t>MICROSOFT_* / GOOGLE_*</w:t>
            </w:r>
          </w:p>
        </w:tc>
        <w:tc>
          <w:tcPr>
            <w:tcW w:type="dxa" w:w="2880"/>
          </w:tcPr>
          <w:p>
            <w:r>
              <w:rPr>
                <w:sz w:val="18"/>
              </w:rPr>
              <w:t>OAuth</w:t>
            </w:r>
          </w:p>
        </w:tc>
        <w:tc>
          <w:tcPr>
            <w:tcW w:type="dxa" w:w="2880"/>
          </w:tcPr>
          <w:p>
            <w:r>
              <w:rPr>
                <w:sz w:val="18"/>
              </w:rPr>
              <w:t>Client id/secret/redirect + scopes de correo y acciones.</w:t>
            </w:r>
          </w:p>
        </w:tc>
      </w:tr>
      <w:tr>
        <w:tc>
          <w:tcPr>
            <w:tcW w:type="dxa" w:w="2880"/>
          </w:tcPr>
          <w:p>
            <w:r>
              <w:rPr>
                <w:sz w:val="18"/>
              </w:rPr>
              <w:t>SSO_ENABLED / OIDC_*</w:t>
            </w:r>
          </w:p>
        </w:tc>
        <w:tc>
          <w:tcPr>
            <w:tcW w:type="dxa" w:w="2880"/>
          </w:tcPr>
          <w:p>
            <w:r>
              <w:rPr>
                <w:sz w:val="18"/>
              </w:rPr>
              <w:t>SSO</w:t>
            </w:r>
          </w:p>
        </w:tc>
        <w:tc>
          <w:tcPr>
            <w:tcW w:type="dxa" w:w="2880"/>
          </w:tcPr>
          <w:p>
            <w:r>
              <w:rPr>
                <w:sz w:val="18"/>
              </w:rPr>
              <w:t>Inicio de sesión federado opcional.</w:t>
            </w:r>
          </w:p>
        </w:tc>
      </w:tr>
      <w:tr>
        <w:tc>
          <w:tcPr>
            <w:tcW w:type="dxa" w:w="2880"/>
          </w:tcPr>
          <w:p>
            <w:r>
              <w:rPr>
                <w:sz w:val="18"/>
              </w:rPr>
              <w:t>NEXT_PUBLIC_API_BASE_URL</w:t>
            </w:r>
          </w:p>
        </w:tc>
        <w:tc>
          <w:tcPr>
            <w:tcW w:type="dxa" w:w="2880"/>
          </w:tcPr>
          <w:p>
            <w:r>
              <w:rPr>
                <w:sz w:val="18"/>
              </w:rPr>
              <w:t>Frontend (Vercel)</w:t>
            </w:r>
          </w:p>
        </w:tc>
        <w:tc>
          <w:tcPr>
            <w:tcW w:type="dxa" w:w="2880"/>
          </w:tcPr>
          <w:p>
            <w:r>
              <w:rPr>
                <w:sz w:val="18"/>
              </w:rPr>
              <w:t>URL pública del backend (sin / final).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D28D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D28D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D28D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