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6D28D9"/>
          <w:sz w:val="92"/>
        </w:rPr>
        <w:t>MaestroAI</w:t>
      </w:r>
    </w:p>
    <w:p>
      <w:pPr>
        <w:jc w:val="center"/>
      </w:pPr>
      <w:r>
        <w:rPr>
          <w:color w:val="334155"/>
          <w:sz w:val="38"/>
        </w:rPr>
        <w:t>Documentación técnica y funcional — Manual completo</w:t>
      </w:r>
    </w:p>
    <w:p>
      <w:pPr>
        <w:jc w:val="center"/>
      </w:pPr>
      <w:r>
        <w:rPr>
          <w:color w:val="64748B"/>
          <w:sz w:val="24"/>
        </w:rPr>
        <w:t>Capacidades, casos de uso, pasos y guías de configuración</w:t>
      </w:r>
    </w:p>
    <w:p>
      <w:pPr>
        <w:jc w:val="center"/>
      </w:pPr>
      <w:r>
        <w:rPr>
          <w:i/>
        </w:rPr>
        <w:t>Versión 2026 · Documento confidencial</w:t>
      </w:r>
    </w:p>
    <w:p>
      <w:r>
        <w:br w:type="page"/>
      </w:r>
    </w:p>
    <w:p>
      <w:pPr>
        <w:pStyle w:val="Heading1"/>
      </w:pPr>
      <w:r>
        <w:t>1. Introducción y propuesta de valor</w:t>
      </w:r>
    </w:p>
    <w:p>
      <w:r>
        <w:rPr>
          <w:b w:val="0"/>
          <w:i w:val="0"/>
          <w:color w:val="334155"/>
          <w:sz w:val="21"/>
        </w:rPr>
        <w:t>MaestroAI es una capa privada y gobernada sobre la IA para empresas de LATAM. A diferencia de un asistente genérico, cada dato que se procesa pasa por el Enrutador de Privacidad: se clasifica, se detecta PII, se minimiza y redacta, y se decide automáticamente la ruta del modelo o se bloquea — todo auditado. Sobre esa base corren capacidades verticales (RAG, casos, agentes, notebooks, automatizaciones) e integraciones con las herramientas de la empresa.</w:t>
      </w:r>
    </w:p>
    <w:p>
      <w:r>
        <w:rPr>
          <w:b/>
          <w:i w:val="0"/>
          <w:color w:val="334155"/>
          <w:sz w:val="21"/>
        </w:rPr>
        <w:t>Cómo leer este documento</w:t>
      </w:r>
    </w:p>
    <w:p>
      <w:r>
        <w:rPr>
          <w:b w:val="0"/>
          <w:i w:val="0"/>
          <w:color w:val="334155"/>
          <w:sz w:val="21"/>
        </w:rPr>
        <w:t>La sección 4 describe cada capacidad con cuatro vistas: qué hace (Capacidad), qué se logra (Logro/valor), un ejemplo (Caso de uso) y el cómo (Pasos a seguir). La sección 6 contiene las guías técnicas de configuración paso a paso. Los apéndices listan endpoints, modelos y acciones.</w:t>
      </w:r>
    </w:p>
    <w:p>
      <w:pPr>
        <w:pStyle w:val="Heading1"/>
      </w:pPr>
      <w:r>
        <w:t>2. Arquitectura general</w:t>
      </w:r>
    </w:p>
    <w:p>
      <w:pPr>
        <w:pStyle w:val="ListBullet"/>
      </w:pPr>
      <w:r>
        <w:t>Portal (Next.js 15 + Tailwind) en Vercel; instalable como PWA.</w:t>
      </w:r>
    </w:p>
    <w:p>
      <w:pPr>
        <w:pStyle w:val="ListBullet"/>
      </w:pPr>
      <w:r>
        <w:t>API (FastAPI + SQLModel) en Render (Docker); Postgres (Supabase) en producción.</w:t>
      </w:r>
    </w:p>
    <w:p>
      <w:pPr>
        <w:pStyle w:val="ListBullet"/>
      </w:pPr>
      <w:r>
        <w:t>RAG con almacén vectorial in-process (o Qdrant); embeddings y fragmentos cifrados.</w:t>
      </w:r>
    </w:p>
    <w:p>
      <w:pPr>
        <w:pStyle w:val="ListBullet"/>
      </w:pPr>
      <w:r>
        <w:t>Modelos: local (Ollama), VPC (vLLM/TGI), abierto (NaN), premium (OpenAI/Claude/Gemini).</w:t>
      </w:r>
    </w:p>
    <w:p>
      <w:pPr>
        <w:pStyle w:val="ListBullet"/>
      </w:pPr>
      <w:r>
        <w:t>Workflows con n8n gestionado; conectores y webhooks para el ecosistema.</w:t>
      </w:r>
    </w:p>
    <w:p>
      <w:pPr>
        <w:pStyle w:val="ListBullet"/>
      </w:pPr>
      <w:r>
        <w:t>CI/CD con GitHub Actions y promoción dev → qa → main.</w:t>
      </w:r>
    </w:p>
    <w:p>
      <w:pPr>
        <w:pStyle w:val="Heading2"/>
      </w:pPr>
      <w:r>
        <w:t>Flujo de una petición</w:t>
      </w:r>
    </w:p>
    <w:p>
      <w:pPr>
        <w:pStyle w:val="ListNumber"/>
      </w:pPr>
      <w:r>
        <w:t>El portal envía el prompt + selección de contexto a la API.</w:t>
      </w:r>
    </w:p>
    <w:p>
      <w:pPr>
        <w:pStyle w:val="ListNumber"/>
      </w:pPr>
      <w:r>
        <w:t>El RAG recupera fragmentos por embeddings y, si está activo, los reordena (rerank).</w:t>
      </w:r>
    </w:p>
    <w:p>
      <w:pPr>
        <w:pStyle w:val="ListNumber"/>
      </w:pPr>
      <w:r>
        <w:t>El router clasifica sensibilidad + PII, minimiza y redacta, y decide la ruta.</w:t>
      </w:r>
    </w:p>
    <w:p>
      <w:pPr>
        <w:pStyle w:val="ListNumber"/>
      </w:pPr>
      <w:r>
        <w:t>Se genera la respuesta (con fallback seguro si el proveedor falla).</w:t>
      </w:r>
    </w:p>
    <w:p>
      <w:pPr>
        <w:pStyle w:val="ListNumber"/>
      </w:pPr>
      <w:r>
        <w:t>Cascada opcional: refina con premium a demanda o si la respuesta es insuficiente.</w:t>
      </w:r>
    </w:p>
    <w:p>
      <w:pPr>
        <w:pStyle w:val="ListNumber"/>
      </w:pPr>
      <w:r>
        <w:t>Se persiste el mensaje, se cita la fuente y se registra el evento de auditoría.</w:t>
      </w:r>
    </w:p>
    <w:p>
      <w:pPr>
        <w:pStyle w:val="Heading1"/>
      </w:pPr>
      <w:r>
        <w:t>3. Modelo de privacidad y enrutamiento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Situación del dato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Ruta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Restringido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Nunca sale de la infraestructura.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Confidencial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VPC (o Local)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VPC privada con auditoría; local si no hay VPC.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PII sin alta sensibilidad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VPC / Local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sale a externo por defecto.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Interno / Público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 (NaN)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Empieza en NaN; premium solo a demanda/insuficiencia.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Inyección / exfiltración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Bloqueado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 audita el intento.</w:t>
            </w:r>
          </w:p>
        </w:tc>
      </w:tr>
    </w:tbl>
    <w:p/>
    <w:p>
      <w:pPr>
        <w:pStyle w:val="Heading1"/>
      </w:pPr>
      <w:r>
        <w:t>4. Capacidades, logros, casos de uso y pasos</w:t>
      </w:r>
    </w:p>
    <w:p>
      <w:r>
        <w:rPr>
          <w:b w:val="0"/>
          <w:i/>
          <w:color w:val="64748B"/>
          <w:sz w:val="21"/>
        </w:rPr>
        <w:t>Cada capacidad se describe en cuatro vistas para separar el «qué/por qué» del «cómo».</w:t>
      </w:r>
    </w:p>
    <w:p>
      <w:pPr>
        <w:pStyle w:val="Heading2"/>
      </w:pPr>
      <w:r>
        <w:t>Enrutador de Privacidad (Privacy Model Router)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Componente que, por CADA petición, clasifica la sensibilidad del dato (Público/Interno/Confidencial/Restringido), detecta PII (RFC, CURP, CLABE, tarjetas, correos, salud, secretos), minimiza y redacta el contexto, y decide automáticamente la ruta del modelo: local, VPC, abierta (NaN), premium o BLOQUEO.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Permite usar IA potente sin exponer información sensible ni depender del criterio del usuario. Es el control que convierte «IA» en «IA gobernada»: soberanía de datos, cumplimiento (LFPDPPP) y trazabilidad por diseño.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Un analista pega un contrato con cláusula NDA y datos bancarios. El router lo clasifica como Confidencial con PII, lo mantiene en la ruta privada (VPC/local), redacta los identificadores y deja constancia auditable — sin que el analista decida nada.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El usuario solo escribe su consulta o sube su documento; no elige modelo.</w:t>
      </w:r>
    </w:p>
    <w:p>
      <w:pPr>
        <w:pStyle w:val="ListNumber"/>
      </w:pPr>
      <w:r>
        <w:t>El sistema clasifica y muestra un banner con la clasificación y la ruta real usada.</w:t>
      </w:r>
    </w:p>
    <w:p>
      <w:pPr>
        <w:pStyle w:val="ListNumber"/>
      </w:pPr>
      <w:r>
        <w:t>Si el dato es Restringido, se procesa local y nunca sale; si es Confidencial, VPC o local.</w:t>
      </w:r>
    </w:p>
    <w:p>
      <w:pPr>
        <w:pStyle w:val="ListNumber"/>
      </w:pPr>
      <w:r>
        <w:t>Para revisar decisiones: Auditoría muestra ruta, modelo, tokens, costo y razón por evento.</w:t>
      </w:r>
    </w:p>
    <w:p>
      <w:pPr>
        <w:pStyle w:val="Heading2"/>
      </w:pPr>
      <w:r>
        <w:t>RAG documental por área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Repositorio de documentos por área y categoría con tratamiento auto-detectado (público/interno/confidencial/restringido) y editable. Trocea (chunking con solape), calcula embeddings y cifra los fragmentos; la recuperación se acota por tenant, categoría y áreas visibles del usuario, y responde citando la fuente.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Convierte el conocimiento disperso (propuestas, licitaciones, ISO, manuales) en respuestas confiables con cita y respetando permisos. Reduce el «inventar» del modelo y el riesgo de fuga entre áreas.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El área de Ventas pregunta «¿qué incluimos en la última propuesta a ACME?» y obtiene la respuesta citando el documento exacto, sin ver documentos de RH o Finanzas.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Documentos → Subir: asigna área y categoría; revisa el tratamiento detectado.</w:t>
      </w:r>
    </w:p>
    <w:p>
      <w:pPr>
        <w:pStyle w:val="ListNumber"/>
      </w:pPr>
      <w:r>
        <w:t>El contenido se cifra e indexa automáticamente en el RAG.</w:t>
      </w:r>
    </w:p>
    <w:p>
      <w:pPr>
        <w:pStyle w:val="ListNumber"/>
      </w:pPr>
      <w:r>
        <w:t>En Chat con fuentes elige el modo de contexto (todo / elegir documentos / sin contexto).</w:t>
      </w:r>
    </w:p>
    <w:p>
      <w:pPr>
        <w:pStyle w:val="ListNumber"/>
      </w:pPr>
      <w:r>
        <w:t>La respuesta cita el documento y el fragmento; los permisos por área se aplican siempre.</w:t>
      </w:r>
    </w:p>
    <w:p>
      <w:pPr>
        <w:pStyle w:val="Heading2"/>
      </w:pPr>
      <w:r>
        <w:t>Reranking del RAG (precisión)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Tras recuperar candidatos por embeddings, los reordena por relevancia real query↔documento con un cross-encoder (NaN Qwen3-Reranker, endpoint /rerank). Patrón embedding → rerank → LLM.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Sube notablemente la precisión de las respuestas con fuentes: el modelo recibe primero los fragmentos verdaderamente relevantes, no solo los «parecidos» por vector.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En una base de 10.000 fragmentos, la pregunta recupera 20 candidatos y el reranker deja los 4 más pertinentes arriba, mejorando la calidad de la cita y la respuesta.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Admin → Eficiencia de tokens → activa «Reranking RAG».</w:t>
      </w:r>
    </w:p>
    <w:p>
      <w:pPr>
        <w:pStyle w:val="ListNumber"/>
      </w:pPr>
      <w:r>
        <w:t>Requiere el proveedor abierto (NaN) configurado (usa su Base URL + API key).</w:t>
      </w:r>
    </w:p>
    <w:p>
      <w:pPr>
        <w:pStyle w:val="ListNumber"/>
      </w:pPr>
      <w:r>
        <w:t>Si el reranker falla, el sistema cae limpio al orden por coseno (sin romperse).</w:t>
      </w:r>
    </w:p>
    <w:p>
      <w:pPr>
        <w:pStyle w:val="Heading2"/>
      </w:pPr>
      <w:r>
        <w:t>Cascada NaN → premium y eficiencia de tokens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Empieza SIEMPRE con el modelo abierto (NaN), barato y rápido. Escala a premium solo a demanda («máxima precisión») o cuando la respuesta barata es insuficiente. Antes de pagar premium, condensa el contexto grande con el modelo barato y aplica un tope de gasto por consulta.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Calidad cuando importa, costo bajo por defecto. Evita pagar premium en todo y reduce los tokens enviados (condensación), con ahorro acumulado visible.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Un PDF de 40 páginas se condensa con NaN a un extracto; si el usuario pide «máxima precisión», premium recibe solo ese extracto y refina — pagando una fracción.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No requiere acción del usuario para el flujo base (todo empieza en NaN).</w:t>
      </w:r>
    </w:p>
    <w:p>
      <w:pPr>
        <w:pStyle w:val="ListNumber"/>
      </w:pPr>
      <w:r>
        <w:t>Activa «Máxima precisión» en el chat para forzar el refinamiento premium.</w:t>
      </w:r>
    </w:p>
    <w:p>
      <w:pPr>
        <w:pStyle w:val="ListNumber"/>
      </w:pPr>
      <w:r>
        <w:t>Admin → Eficiencia: define umbral de condensación y tope de tokens por consulta.</w:t>
      </w:r>
    </w:p>
    <w:p>
      <w:pPr>
        <w:pStyle w:val="ListNumber"/>
      </w:pPr>
      <w:r>
        <w:t>Si no hay premium configurado, todo corre en NaN; sin NaN, modo demostración (mock).</w:t>
      </w:r>
    </w:p>
    <w:p>
      <w:pPr>
        <w:pStyle w:val="Heading2"/>
      </w:pPr>
      <w:r>
        <w:t>Casos de uso (generación de entregables)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Plantillas que generan documentos profesionales (propuesta comercial, carta, reporte, licitación, reporte por industria) con un paso universal objetivo/notas/formato y grounding por categoría del RAG. Exporta a Word, PDF, Markdown, PPTX y XLSX.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Pasa de horas a minutos en entregables repetitivos, con marca de la empresa, estructura consistente y datos citados. «Elige qué lograr, da lo mínimo; tú solo apruebas.»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Un ejecutivo elige «Propuesta comercial», pone cliente/servicio/monto, revisa el borrador y descarga un .docx con portada, secciones y pie confidencial.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Casos de uso → elige la receta.</w:t>
      </w:r>
    </w:p>
    <w:p>
      <w:pPr>
        <w:pStyle w:val="ListNumber"/>
      </w:pPr>
      <w:r>
        <w:t>Llena los datos mínimos (objetivo, notas, formato de salida).</w:t>
      </w:r>
    </w:p>
    <w:p>
      <w:pPr>
        <w:pStyle w:val="ListNumber"/>
      </w:pPr>
      <w:r>
        <w:t>Revisa el borrador (vía router de privacidad) y pulsa «Aprobar y generar».</w:t>
      </w:r>
    </w:p>
    <w:p>
      <w:pPr>
        <w:pStyle w:val="ListNumber"/>
      </w:pPr>
      <w:r>
        <w:t>Descarga en Word/PDF/Markdown/PPTX/XLSX.</w:t>
      </w:r>
    </w:p>
    <w:p>
      <w:pPr>
        <w:pStyle w:val="Heading2"/>
      </w:pPr>
      <w:r>
        <w:t>Agentes verticales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Agentes especializados por dominio (Document Intelligence, Cyber Diagnostic, Proposal/SOW, Executive Copilot) con política de privacidad propia; cada respuesta pasa por el router y cita.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Experiencia experta lista para usar por área, sin construir prompts desde cero, con la misma gobernanza de privacidad.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El equipo de seguridad usa Cyber Diagnostic para un diagnóstico y roadmap citando las políticas internas.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Agentes → elige el agente y conversa.</w:t>
      </w:r>
    </w:p>
    <w:p>
      <w:pPr>
        <w:pStyle w:val="ListNumber"/>
      </w:pPr>
      <w:r>
        <w:t>Cada respuesta cita sus fuentes y respeta el ruteo de privacidad.</w:t>
      </w:r>
    </w:p>
    <w:p>
      <w:pPr>
        <w:pStyle w:val="ListNumber"/>
      </w:pPr>
      <w:r>
        <w:t>El Admin puede crear agentes personalizados por área.</w:t>
      </w:r>
    </w:p>
    <w:p>
      <w:pPr>
        <w:pStyle w:val="Heading2"/>
      </w:pPr>
      <w:r>
        <w:t>Chat con fuentes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Chat con 3 modos de contexto (sin contexto / todo el RAG / elegir documentos), toggles de «máxima precisión» (cascada) y «usar memoria», banner con clasificación y ruta real, exportable.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Una sola interfaz para preguntar con o sin documentos, con control de precisión y costo, y trazabilidad de cada respuesta.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Un usuario activa «elegir documentos», selecciona 3 archivos y pregunta; la respuesta se basa solo en esos, con cita.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Chat con fuentes → elige el modo de contexto.</w:t>
      </w:r>
    </w:p>
    <w:p>
      <w:pPr>
        <w:pStyle w:val="ListNumber"/>
      </w:pPr>
      <w:r>
        <w:t>Opcional: activa «Máxima precisión» y/o «Usar memoria».</w:t>
      </w:r>
    </w:p>
    <w:p>
      <w:pPr>
        <w:pStyle w:val="ListNumber"/>
      </w:pPr>
      <w:r>
        <w:t>Envía; revisa la ruta en el banner y exporta a PDF/Markdown si lo necesitas.</w:t>
      </w:r>
    </w:p>
    <w:p>
      <w:pPr>
        <w:pStyle w:val="Heading2"/>
      </w:pPr>
      <w:r>
        <w:t>Notebooks (estilo NotebookLM privado)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Espacios con fuentes acotadas donde se pregunta con cita y se generan artefactos (resumen, FAQ, guía, briefing, cronología) solo sobre esos documentos.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Estudio profundo de un conjunto de documentos sin que el modelo se «desvíe» a otros, con salidas reutilizables.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Para una licitación se crea un notebook con las bases y se genera una FAQ y una cronología.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Notebooks → crea uno y añade fuentes del RAG.</w:t>
      </w:r>
    </w:p>
    <w:p>
      <w:pPr>
        <w:pStyle w:val="ListNumber"/>
      </w:pPr>
      <w:r>
        <w:t>Haz preguntas (responde citando) o genera un artefacto.</w:t>
      </w:r>
    </w:p>
    <w:p>
      <w:pPr>
        <w:pStyle w:val="Heading2"/>
      </w:pPr>
      <w:r>
        <w:t>Memoria y etiquetas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Memoria persistente de trabajos con búsqueda semántica y por tags; auto-captura al completar casos; recall en el chat respetando permisos por área.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El sistema «recuerda» trabajos previos («¿recuerdas el trabajo C?») y los reutiliza, evitando rehacer y perdiendo menos contexto entre sesiones.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Semanas después, el usuario pide continuar «la propuesta C» y el sistema recupera lo hecho.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Guarda resultados con «Guardar en memoria» (o se auto-capturan al completar casos).</w:t>
      </w:r>
    </w:p>
    <w:p>
      <w:pPr>
        <w:pStyle w:val="ListNumber"/>
      </w:pPr>
      <w:r>
        <w:t>Organiza con etiquetas y busca por texto o tag en Memoria.</w:t>
      </w:r>
    </w:p>
    <w:p>
      <w:pPr>
        <w:pStyle w:val="ListNumber"/>
      </w:pPr>
      <w:r>
        <w:t>Activa «Usar memoria» en el chat para responder con base en trabajos previos.</w:t>
      </w:r>
    </w:p>
    <w:p>
      <w:pPr>
        <w:pStyle w:val="Heading2"/>
      </w:pPr>
      <w:r>
        <w:t>Generar imágenes (texto → imagen)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Generación de imágenes por ruta estándar OpenAI (/images/generations) con relación de aspecto y variantes; galería por área; el prompt se redacta de PII; todo auditado.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Material visual gobernado dentro de la plataforma, con copia propia y permisos por área.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Marketing genera variantes de una imagen para una campaña; quedan en la galería del área.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Generar imágenes → escribe el prompt, elige aspecto y variantes.</w:t>
      </w:r>
    </w:p>
    <w:p>
      <w:pPr>
        <w:pStyle w:val="ListNumber"/>
      </w:pPr>
      <w:r>
        <w:t>Requiere un proveedor que exponga /images/generations (la API de NaN no lo expone hoy).</w:t>
      </w:r>
    </w:p>
    <w:p>
      <w:pPr>
        <w:pStyle w:val="Heading2"/>
      </w:pPr>
      <w:r>
        <w:t>Toolkit de acciones (Google / Microsoft)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Ejecuta tareas reales en las herramientas del usuario vía su OAuth: enviar correo, crear eventos, append a Sheets/Excel, publicar en Teams, buscar en SharePoint, listar OneDrive, leer Sheets/Excel/Calendar. Lecturas inmediatas; escrituras con aprobación humana.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La IA no solo redacta: actúa, con un control de aprobación («tú apruebas») y «Permitir siempre» revocable, todo auditado.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Tras redactar un correo, el usuario pulsa enviar; queda como solicitud pendiente y, al aprobar, se manda desde su cuenta Outlook.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Configura scopes de escritura y reconecta (ver guía de configuración A/B).</w:t>
      </w:r>
    </w:p>
    <w:p>
      <w:pPr>
        <w:pStyle w:val="ListNumber"/>
      </w:pPr>
      <w:r>
        <w:t>Acciones → elige la acción y llena los datos.</w:t>
      </w:r>
    </w:p>
    <w:p>
      <w:pPr>
        <w:pStyle w:val="ListNumber"/>
      </w:pPr>
      <w:r>
        <w:t>Aprueba la escritura (o usa «Permitir siempre»).</w:t>
      </w:r>
    </w:p>
    <w:p>
      <w:pPr>
        <w:pStyle w:val="Heading2"/>
      </w:pPr>
      <w:r>
        <w:t>Automatizaciones y n8n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Conecta un disparador (manual / programado / por evento) con una acción (workflow n8n, caso de uso, conector o notificar). n8n gestionado se auto-provisiona por tenant (6 workflows base).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Procesos sin intervención: resúmenes diarios, cobranza semanal, alertas de documento sensible, reportes — orquestando los sistemas de la empresa.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Cada vez que se sube un documento confidencial, una automatización notifica a seguridad.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Automatizaciones → Nueva (o usa una plantilla).</w:t>
      </w:r>
    </w:p>
    <w:p>
      <w:pPr>
        <w:pStyle w:val="ListNumber"/>
      </w:pPr>
      <w:r>
        <w:t>Elige disparador y acción («workflow» para n8n con su referencia).</w:t>
      </w:r>
    </w:p>
    <w:p>
      <w:pPr>
        <w:pStyle w:val="ListNumber"/>
      </w:pPr>
      <w:r>
        <w:t>Activa/desactiva o «Ejecutar ahora»; el resultado queda en Auditoría.</w:t>
      </w:r>
    </w:p>
    <w:p>
      <w:pPr>
        <w:pStyle w:val="Heading2"/>
      </w:pPr>
      <w:r>
        <w:t>Conectores, webhooks y API pública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Conectores REST de salida (CRM/ERP/Delivery) con detalle y «ojito» de secretos (auditado); webhooks entrantes firmados (HMAC-SHA256); API pública /v1 con X-API-Key.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Integración bidireccional gobernada con el ecosistema de la empresa, sin exponer secretos.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Un lead capturado en la plataforma se envía a HubSpot vía conector; un sistema externo notifica eventos por webhook firmado.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Integraciones → Conectores: plantilla, endpoint y token (cifrado); Probar.</w:t>
      </w:r>
    </w:p>
    <w:p>
      <w:pPr>
        <w:pStyle w:val="ListNumber"/>
      </w:pPr>
      <w:r>
        <w:t>Webhooks entrantes → crea uno y firma el cuerpo con el secreto.</w:t>
      </w:r>
    </w:p>
    <w:p>
      <w:pPr>
        <w:pStyle w:val="ListNumber"/>
      </w:pPr>
      <w:r>
        <w:t>API pública: genera una API key en Admin y llama /v1 con X-API-Key.</w:t>
      </w:r>
    </w:p>
    <w:p>
      <w:pPr>
        <w:pStyle w:val="Heading2"/>
      </w:pPr>
      <w:r>
        <w:t>Fuentes de datos legadas (BD de solo lectura / CSV)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Importa al RAG desde una base de datos de solo lectura (DSN + SELECT, con denylist DML/CTE y transacción read-only) o desde un CSV pegado (encabezados + delimitador). Solo ADMIN/DEVOPS.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Trae el conocimiento de sistemas sin API a la IA gobernada, sin exponer escritura ni romper el sistema legado.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Un ERP antiguo exporta clientes en CSV; se importan al RAG y el chat ya responde sobre ellos.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Integraciones → Fuentes de datos: DSN + SELECT → Probar → Importar.</w:t>
      </w:r>
    </w:p>
    <w:p>
      <w:pPr>
        <w:pStyle w:val="ListNumber"/>
      </w:pPr>
      <w:r>
        <w:t>O «Importar CSV»: pega el contenido y el delimitador.</w:t>
      </w:r>
    </w:p>
    <w:p>
      <w:pPr>
        <w:pStyle w:val="ListNumber"/>
      </w:pPr>
      <w:r>
        <w:t>Usa el «ojito» para revelar el DSN (auditado).</w:t>
      </w:r>
    </w:p>
    <w:p>
      <w:pPr>
        <w:pStyle w:val="Heading2"/>
      </w:pPr>
      <w:r>
        <w:t>Tableros, Trámites y App Studio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Tableros a la medida (describe qué medir → widgets en vivo + KPIs manuales); catálogo de Trámites por país/estado/empresa (MCP) que aterriza respuestas; App Studio para mini-apps.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Medición y contexto público/privado curado, y la posibilidad de publicar mini-aplicaciones.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Un gerente arma un tablero de «costo por ruta de modelo» y casos por receta; convierte un trámite estatal en una propuesta de caso de uso.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Tableros → describe lo que quieres medir y agrega widgets.</w:t>
      </w:r>
    </w:p>
    <w:p>
      <w:pPr>
        <w:pStyle w:val="ListNumber"/>
      </w:pPr>
      <w:r>
        <w:t>Trámites y casos → filtra y convierte en propuesta.</w:t>
      </w:r>
    </w:p>
    <w:p>
      <w:pPr>
        <w:pStyle w:val="Heading2"/>
      </w:pPr>
      <w:r>
        <w:t>Auditoría, gobernanza y multi-tenant</w:t>
      </w:r>
    </w:p>
    <w:p>
      <w:r>
        <w:rPr>
          <w:b/>
          <w:color w:val="6D28D9"/>
          <w:sz w:val="21"/>
        </w:rPr>
        <w:t xml:space="preserve">Capacidad: </w:t>
      </w:r>
      <w:r>
        <w:rPr>
          <w:color w:val="334155"/>
          <w:sz w:val="21"/>
        </w:rPr>
        <w:t>Auditoría navegable de cada evento (usuario, ruta, modelo, tokens, costo, sensibilidad, razón) con export a SIEM (JSONL); permisos jerárquicos por área y licencia; super admin multi-tenant.</w:t>
      </w:r>
    </w:p>
    <w:p>
      <w:r>
        <w:rPr>
          <w:b/>
          <w:color w:val="6D28D9"/>
          <w:sz w:val="21"/>
        </w:rPr>
        <w:t xml:space="preserve">Logro / valor: </w:t>
      </w:r>
      <w:r>
        <w:rPr>
          <w:color w:val="334155"/>
          <w:sz w:val="21"/>
        </w:rPr>
        <w:t>Evidencia y control para cumplimiento y seguridad; cada empresa aislada; cada usuario ve lo suyo.</w:t>
      </w:r>
    </w:p>
    <w:p>
      <w:r>
        <w:rPr>
          <w:b/>
          <w:color w:val="6D28D9"/>
          <w:sz w:val="21"/>
        </w:rPr>
        <w:t xml:space="preserve">Caso de uso: </w:t>
      </w:r>
      <w:r>
        <w:rPr>
          <w:color w:val="334155"/>
          <w:sz w:val="21"/>
        </w:rPr>
        <w:t>Compliance revisa en Auditoría todas las salidas externas del mes y las exporta a su SIEM.</w:t>
      </w:r>
    </w:p>
    <w:p>
      <w:r>
        <w:rPr>
          <w:b/>
          <w:i w:val="0"/>
          <w:color w:val="6D28D9"/>
          <w:sz w:val="21"/>
        </w:rPr>
        <w:t>Pasos a seguir:</w:t>
      </w:r>
    </w:p>
    <w:p>
      <w:pPr>
        <w:pStyle w:val="ListNumber"/>
      </w:pPr>
      <w:r>
        <w:t>Auditoría → filtra por tipo, riesgo, ruta o usuario; abre el detalle.</w:t>
      </w:r>
    </w:p>
    <w:p>
      <w:pPr>
        <w:pStyle w:val="ListNumber"/>
      </w:pPr>
      <w:r>
        <w:t>Export SIEM → descarga JSONL.</w:t>
      </w:r>
    </w:p>
    <w:p>
      <w:pPr>
        <w:pStyle w:val="ListNumber"/>
      </w:pPr>
      <w:r>
        <w:t>Admin → Usuarios: asigna rol y área a cada persona.</w:t>
      </w:r>
    </w:p>
    <w:p>
      <w:pPr>
        <w:pStyle w:val="Heading1"/>
      </w:pPr>
      <w:r>
        <w:t>5. Modelos y proveedores</w:t>
      </w:r>
    </w:p>
    <w:p>
      <w:r>
        <w:rPr>
          <w:b w:val="0"/>
          <w:i w:val="0"/>
          <w:color w:val="334155"/>
          <w:sz w:val="21"/>
        </w:rPr>
        <w:t>Todas las rutas usan endpoints compatibles con OpenAI. El proveedor abierto por defecto es NaN Builders (https://api.nan.builders/v1). Modelos publicados de NaN: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Modelo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Contexto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Capacidades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qwen3.6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35B/3B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256K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Chat, tools, visión, reasoning —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deepseek-v4-flash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284B/21B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Chat, tools, reasoning (reasoning_effort)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mimo-v2.5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310B/15B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Omnimodal (texto+imagen+audio)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gemma4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26B/4B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256K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Chat, visión, reasoning (opt-in)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qwen3-embedding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Embeddings 4096-dim, 100+ idiomas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rerank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Qwen3-Reranker-8B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Reranking RAG (/rerank)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kokoro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TTS 82M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Text-to-speech, voces 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whisper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large-v3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Speech-to-text, 99+ idiomas</w:t>
            </w:r>
          </w:p>
        </w:tc>
      </w:tr>
    </w:tbl>
    <w:p/>
    <w:p>
      <w:r>
        <w:rPr>
          <w:b w:val="0"/>
          <w:i/>
          <w:color w:val="64748B"/>
          <w:sz w:val="21"/>
        </w:rPr>
        <w:t>Nota: la API de NaN no expone generación de imágenes (es función de su web); la sección de imágenes usa la ruta estándar OpenAI con cualquier proveedor que la exponga.</w:t>
      </w:r>
    </w:p>
    <w:p>
      <w:pPr>
        <w:pStyle w:val="Heading1"/>
      </w:pPr>
      <w:r>
        <w:t>6. Guías técnicas de configuración (paso a paso)</w:t>
      </w:r>
    </w:p>
    <w:p>
      <w:r>
        <w:rPr>
          <w:b w:val="0"/>
          <w:i/>
          <w:color w:val="64748B"/>
          <w:sz w:val="21"/>
        </w:rPr>
        <w:t>Cubren exactamente lo que hay que configurar para activar cada capacidad. Las variables van en Render (backend) salvo NEXT_PUBLIC_API_BASE_URL (Vercel).</w:t>
      </w:r>
    </w:p>
    <w:p>
      <w:pPr>
        <w:pStyle w:val="Heading2"/>
      </w:pPr>
      <w:r>
        <w:t>A. Microsoft 365 / Outlook (OAuth + acciones)</w:t>
      </w:r>
    </w:p>
    <w:p>
      <w:r>
        <w:rPr>
          <w:b w:val="0"/>
          <w:i w:val="0"/>
          <w:color w:val="334155"/>
          <w:sz w:val="21"/>
        </w:rPr>
        <w:t>Habilita el resumen de correo/agenda y el toolkit de acciones de Microsoft. Requiere registrar una app en Azure (Entra ID).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portal.azure.com → Microsoft Entra ID → App registrations → New registration. Nombre: MaestroAI.</w:t>
      </w:r>
    </w:p>
    <w:p>
      <w:pPr>
        <w:pStyle w:val="ListNumber"/>
      </w:pPr>
      <w:r>
        <w:t>Supported account types: «Accounts in any organizational directory and personal Microsoft accounts».</w:t>
      </w:r>
    </w:p>
    <w:p>
      <w:pPr>
        <w:pStyle w:val="ListNumber"/>
      </w:pPr>
      <w:r>
        <w:t>Redirect URI (Web): https://&lt;tu-api&gt;/oauth/microsoft/callback (la URL real del backend en Render).</w:t>
      </w:r>
    </w:p>
    <w:p>
      <w:pPr>
        <w:pStyle w:val="ListNumber"/>
      </w:pPr>
      <w:r>
        <w:t>API permissions → Microsoft Graph → Delegated → lectura: User.Read, Mail.Read, Calendars.Read, offline_access.</w:t>
      </w:r>
    </w:p>
    <w:p>
      <w:pPr>
        <w:pStyle w:val="ListNumber"/>
      </w:pPr>
      <w:r>
        <w:t>Acciones (escritura): Mail.Send, Calendars.ReadWrite, ChannelMessage.Send, Files.ReadWrite.All, Sites.Read.All.</w:t>
      </w:r>
    </w:p>
    <w:p>
      <w:pPr>
        <w:pStyle w:val="ListNumber"/>
      </w:pPr>
      <w:r>
        <w:t>(Empresa) Grant admin consent.</w:t>
      </w:r>
    </w:p>
    <w:p>
      <w:pPr>
        <w:pStyle w:val="ListNumber"/>
      </w:pPr>
      <w:r>
        <w:t>Certificates &amp; secrets → New client secret → copia el Value (solo se ve una vez) y el Application (client) ID.</w:t>
      </w:r>
    </w:p>
    <w:p>
      <w:pPr>
        <w:pStyle w:val="ListNumber"/>
      </w:pPr>
      <w:r>
        <w:t>Configura las variables MICROSOFT_* en Render → Save, rebuild &amp; deploy.</w:t>
      </w:r>
    </w:p>
    <w:p>
      <w:pPr>
        <w:pStyle w:val="ListNumber"/>
      </w:pPr>
      <w:r>
        <w:t>Cada usuario Reconecta una vez (Integraciones → Conectar correo) para otorgar los nuevos permisos.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MICROSOFT_OAUTH_ENABLED = true</w:t>
      </w:r>
    </w:p>
    <w:p>
      <w:r>
        <w:rPr>
          <w:rFonts w:ascii="Consolas" w:hAnsi="Consolas"/>
          <w:color w:val="334155"/>
          <w:sz w:val="18"/>
        </w:rPr>
        <w:t>MICROSOFT_CLIENT_ID     = &lt;Application (client) ID&gt;</w:t>
      </w:r>
    </w:p>
    <w:p>
      <w:r>
        <w:rPr>
          <w:rFonts w:ascii="Consolas" w:hAnsi="Consolas"/>
          <w:color w:val="334155"/>
          <w:sz w:val="18"/>
        </w:rPr>
        <w:t>MICROSOFT_CLIENT_SECRET = &lt;el Value del secreto&gt;</w:t>
      </w:r>
    </w:p>
    <w:p>
      <w:r>
        <w:rPr>
          <w:rFonts w:ascii="Consolas" w:hAnsi="Consolas"/>
          <w:color w:val="334155"/>
          <w:sz w:val="18"/>
        </w:rPr>
        <w:t>MICROSOFT_TENANT        = common</w:t>
      </w:r>
    </w:p>
    <w:p>
      <w:r>
        <w:rPr>
          <w:rFonts w:ascii="Consolas" w:hAnsi="Consolas"/>
          <w:color w:val="334155"/>
          <w:sz w:val="18"/>
        </w:rPr>
        <w:t>MICROSOFT_REDIRECT_URI  = https://&lt;tu-api&gt;/oauth/microsoft/callback</w:t>
      </w:r>
    </w:p>
    <w:p>
      <w:r>
        <w:rPr>
          <w:rFonts w:ascii="Consolas" w:hAnsi="Consolas"/>
          <w:color w:val="334155"/>
          <w:sz w:val="18"/>
        </w:rPr>
        <w:t>APP_PUBLIC_URL          = https://plataforma.maestroai.mx</w:t>
      </w:r>
    </w:p>
    <w:p>
      <w:r>
        <w:rPr>
          <w:b w:val="0"/>
          <w:i/>
          <w:color w:val="64748B"/>
          <w:sz w:val="21"/>
        </w:rPr>
        <w:t>Nota: La REDIRECT_URI en Render debe coincidir EXACTAMENTE con la registrada en Azure. Los tokens se guardan cifrados (AES-256-GCM) y se refrescan solos.</w:t>
      </w:r>
    </w:p>
    <w:p>
      <w:pPr>
        <w:pStyle w:val="Heading2"/>
      </w:pPr>
      <w:r>
        <w:t>B. Google Workspace / Gmail (OAuth + acciones)</w:t>
      </w:r>
    </w:p>
    <w:p>
      <w:r>
        <w:rPr>
          <w:b w:val="0"/>
          <w:i w:val="0"/>
          <w:color w:val="334155"/>
          <w:sz w:val="21"/>
        </w:rPr>
        <w:t>Habilita Gmail/Calendar/Drive/Sheets para resumen, contexto y acciones.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console.cloud.google.com → crea proyecto → APIs &amp; Services.</w:t>
      </w:r>
    </w:p>
    <w:p>
      <w:pPr>
        <w:pStyle w:val="ListNumber"/>
      </w:pPr>
      <w:r>
        <w:t>Habilita: Gmail API, Google Calendar API, Google Drive API, Google Sheets API.</w:t>
      </w:r>
    </w:p>
    <w:p>
      <w:pPr>
        <w:pStyle w:val="ListNumber"/>
      </w:pPr>
      <w:r>
        <w:t>OAuth consent screen: External; agrega tu correo como test user mientras esté en pruebas.</w:t>
      </w:r>
    </w:p>
    <w:p>
      <w:pPr>
        <w:pStyle w:val="ListNumber"/>
      </w:pPr>
      <w:r>
        <w:t>Scopes: gmail.readonly, calendar.events, drive.readonly y (acciones) gmail.send, spreadsheets.</w:t>
      </w:r>
    </w:p>
    <w:p>
      <w:pPr>
        <w:pStyle w:val="ListNumber"/>
      </w:pPr>
      <w:r>
        <w:t>Credentials → Create credentials → OAuth client ID → Web application.</w:t>
      </w:r>
    </w:p>
    <w:p>
      <w:pPr>
        <w:pStyle w:val="ListNumber"/>
      </w:pPr>
      <w:r>
        <w:t>Authorized redirect URI: https://&lt;tu-api&gt;/oauth/google/callback.</w:t>
      </w:r>
    </w:p>
    <w:p>
      <w:pPr>
        <w:pStyle w:val="ListNumber"/>
      </w:pPr>
      <w:r>
        <w:t>Configura GOOGLE_* en Render y reconecta desde el portal.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GOOGLE_OAUTH_ENABLED = true</w:t>
      </w:r>
    </w:p>
    <w:p>
      <w:r>
        <w:rPr>
          <w:rFonts w:ascii="Consolas" w:hAnsi="Consolas"/>
          <w:color w:val="334155"/>
          <w:sz w:val="18"/>
        </w:rPr>
        <w:t>GOOGLE_CLIENT_ID     = &lt;client id&gt;.apps.googleusercontent.com</w:t>
      </w:r>
    </w:p>
    <w:p>
      <w:r>
        <w:rPr>
          <w:rFonts w:ascii="Consolas" w:hAnsi="Consolas"/>
          <w:color w:val="334155"/>
          <w:sz w:val="18"/>
        </w:rPr>
        <w:t>GOOGLE_CLIENT_SECRET = &lt;client secret&gt;</w:t>
      </w:r>
    </w:p>
    <w:p>
      <w:r>
        <w:rPr>
          <w:rFonts w:ascii="Consolas" w:hAnsi="Consolas"/>
          <w:color w:val="334155"/>
          <w:sz w:val="18"/>
        </w:rPr>
        <w:t>GOOGLE_REDIRECT_URI  = https://&lt;tu-api&gt;/oauth/google/callback</w:t>
      </w:r>
    </w:p>
    <w:p>
      <w:r>
        <w:rPr>
          <w:b w:val="0"/>
          <w:i/>
          <w:color w:val="64748B"/>
          <w:sz w:val="21"/>
        </w:rPr>
        <w:t>Nota: Gmail/Outlook ya no aceptan contraseña normal por IMAP; por eso usan OAuth.</w:t>
      </w:r>
    </w:p>
    <w:p>
      <w:pPr>
        <w:pStyle w:val="Heading2"/>
      </w:pPr>
      <w:r>
        <w:t>C. Cualquier otro correo — IMAP</w:t>
      </w:r>
    </w:p>
    <w:p>
      <w:r>
        <w:rPr>
          <w:b w:val="0"/>
          <w:i w:val="0"/>
          <w:color w:val="334155"/>
          <w:sz w:val="21"/>
        </w:rPr>
        <w:t>Yahoo, iCloud, Zoho, hosting o correo de empresa. No requiere registrar ninguna app.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Conectar correo → «Otro correo (IMAP)».</w:t>
      </w:r>
    </w:p>
    <w:p>
      <w:pPr>
        <w:pStyle w:val="ListNumber"/>
      </w:pPr>
      <w:r>
        <w:t>Elige el proveedor (preset) o escribe host/puerto.</w:t>
      </w:r>
    </w:p>
    <w:p>
      <w:pPr>
        <w:pStyle w:val="ListNumber"/>
      </w:pPr>
      <w:r>
        <w:t>Escribe el correo + contraseña (muchos exigen «contraseña de aplicación» con 2FA activado).</w:t>
      </w:r>
    </w:p>
    <w:p>
      <w:pPr>
        <w:pStyle w:val="ListNumber"/>
      </w:pPr>
      <w:r>
        <w:t>Queda conectado; la contraseña se guarda cifrada y se usa solo para leer la bandeja.</w:t>
      </w:r>
    </w:p>
    <w:p>
      <w:r>
        <w:rPr>
          <w:b w:val="0"/>
          <w:i/>
          <w:color w:val="64748B"/>
          <w:sz w:val="21"/>
        </w:rPr>
        <w:t>Nota: IMAP trae correo (no calendario; eso solo Outlook/Gmail por OAuth).</w:t>
      </w:r>
    </w:p>
    <w:p>
      <w:pPr>
        <w:pStyle w:val="Heading2"/>
      </w:pPr>
      <w:r>
        <w:t>D. Proveedor abierto — NaN Builders (ruta open)</w:t>
      </w:r>
    </w:p>
    <w:p>
      <w:r>
        <w:rPr>
          <w:b w:val="0"/>
          <w:i w:val="0"/>
          <w:color w:val="334155"/>
          <w:sz w:val="21"/>
        </w:rPr>
        <w:t>Modelo barato/rápido y base de la cascada, el rerank y la condensación. API compatible OpenAI.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Obtén tu API key de NaN (nan.builders/docs/getting-started).</w:t>
      </w:r>
    </w:p>
    <w:p>
      <w:pPr>
        <w:pStyle w:val="ListNumber"/>
      </w:pPr>
      <w:r>
        <w:t>UI: Admin → Modelos externos → Abierto → Base URL + modelo + API key → Guardar → Probar conexión.</w:t>
      </w:r>
    </w:p>
    <w:p>
      <w:pPr>
        <w:pStyle w:val="ListNumber"/>
      </w:pPr>
      <w:r>
        <w:t>O configura OPEN_* en Render.</w:t>
      </w:r>
    </w:p>
    <w:p>
      <w:pPr>
        <w:pStyle w:val="ListNumber"/>
      </w:pPr>
      <w:r>
        <w:t>Modelo recomendado: qwen3.6 (principal). Para razonamiento largo: deepseek-v4-flash.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OPEN_ENABLED  = true</w:t>
      </w:r>
    </w:p>
    <w:p>
      <w:r>
        <w:rPr>
          <w:rFonts w:ascii="Consolas" w:hAnsi="Consolas"/>
          <w:color w:val="334155"/>
          <w:sz w:val="18"/>
        </w:rPr>
        <w:t>OPEN_API_KEY  = sk-...</w:t>
      </w:r>
    </w:p>
    <w:p>
      <w:r>
        <w:rPr>
          <w:rFonts w:ascii="Consolas" w:hAnsi="Consolas"/>
          <w:color w:val="334155"/>
          <w:sz w:val="18"/>
        </w:rPr>
        <w:t>OPEN_BASE_URL = https://api.nan.builders/v1</w:t>
      </w:r>
    </w:p>
    <w:p>
      <w:r>
        <w:rPr>
          <w:rFonts w:ascii="Consolas" w:hAnsi="Consolas"/>
          <w:color w:val="334155"/>
          <w:sz w:val="18"/>
        </w:rPr>
        <w:t>OPEN_MODEL    = qwen3.6</w:t>
      </w:r>
    </w:p>
    <w:p>
      <w:r>
        <w:rPr>
          <w:b w:val="0"/>
          <w:i/>
          <w:color w:val="64748B"/>
          <w:sz w:val="21"/>
        </w:rPr>
        <w:t>Nota: Límites NaN: 60 rpm, 3 en paralelo, 1.5M tpm por modelo de chat. Enterprise (Helmcode): api.helmcode.com/v1.</w:t>
      </w:r>
    </w:p>
    <w:p>
      <w:pPr>
        <w:pStyle w:val="Heading2"/>
      </w:pPr>
      <w:r>
        <w:t>E. Proveedor premium (OpenAI / Claude / Gemini compatible)</w:t>
      </w:r>
    </w:p>
    <w:p>
      <w:r>
        <w:rPr>
          <w:b w:val="0"/>
          <w:i w:val="0"/>
          <w:color w:val="334155"/>
          <w:sz w:val="21"/>
        </w:rPr>
        <w:t>Refinamiento de máxima precisión en la cascada. Solo se usa como escalada.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Admin → Modelos externos → Premium → Base URL + modelo + API key → Guardar.</w:t>
      </w:r>
    </w:p>
    <w:p>
      <w:pPr>
        <w:pStyle w:val="ListNumber"/>
      </w:pPr>
      <w:r>
        <w:t>Pulsa «Probar conexión» para validar (latencia + muestra, o el error).</w:t>
      </w:r>
    </w:p>
    <w:p>
      <w:pPr>
        <w:pStyle w:val="ListNumber"/>
      </w:pPr>
      <w:r>
        <w:t>O configura PREMIUM_* en Render.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PREMIUM_ENABLED  = true</w:t>
      </w:r>
    </w:p>
    <w:p>
      <w:r>
        <w:rPr>
          <w:rFonts w:ascii="Consolas" w:hAnsi="Consolas"/>
          <w:color w:val="334155"/>
          <w:sz w:val="18"/>
        </w:rPr>
        <w:t>PREMIUM_API_KEY  = &lt;api key&gt;</w:t>
      </w:r>
    </w:p>
    <w:p>
      <w:r>
        <w:rPr>
          <w:rFonts w:ascii="Consolas" w:hAnsi="Consolas"/>
          <w:color w:val="334155"/>
          <w:sz w:val="18"/>
        </w:rPr>
        <w:t>PREMIUM_BASE_URL = https://api.openai.com/v1   # o el endpoint compatible de tu proveedor</w:t>
      </w:r>
    </w:p>
    <w:p>
      <w:r>
        <w:rPr>
          <w:rFonts w:ascii="Consolas" w:hAnsi="Consolas"/>
          <w:color w:val="334155"/>
          <w:sz w:val="18"/>
        </w:rPr>
        <w:t>PREMIUM_MODEL    = gpt-4o   # o claude-..., gemini-...</w:t>
      </w:r>
    </w:p>
    <w:p>
      <w:r>
        <w:rPr>
          <w:b w:val="0"/>
          <w:i/>
          <w:color w:val="64748B"/>
          <w:sz w:val="21"/>
        </w:rPr>
        <w:t>Nota: Si no se configura, la cascada se queda en NaN (no se promete premium).</w:t>
      </w:r>
    </w:p>
    <w:p>
      <w:pPr>
        <w:pStyle w:val="Heading2"/>
      </w:pPr>
      <w:r>
        <w:t>F. Ollama — ruta local privada (datos confidenciales)</w:t>
      </w:r>
    </w:p>
    <w:p>
      <w:r>
        <w:rPr>
          <w:b w:val="0"/>
          <w:i w:val="0"/>
          <w:color w:val="334155"/>
          <w:sz w:val="21"/>
        </w:rPr>
        <w:t>Procesa lo Confidencial/Restringido en tu propia máquina/servidor; nunca sale a la nube.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Instala Ollama (ollama.com/download o brew install ollama) y arráncalo (ollama serve).</w:t>
      </w:r>
    </w:p>
    <w:p>
      <w:pPr>
        <w:pStyle w:val="ListNumber"/>
      </w:pPr>
      <w:r>
        <w:t>Descarga un modelo: ollama pull llama3.1 (o qwen2.5:3b para CPU). El nombre exacto = LOCAL_MODEL.</w:t>
      </w:r>
    </w:p>
    <w:p>
      <w:pPr>
        <w:pStyle w:val="ListNumber"/>
      </w:pPr>
      <w:r>
        <w:t>Exponlo con URL pública (prueba: cloudflared tunnel --url http://localhost:11434; prod: servidor HTTPS).</w:t>
      </w:r>
    </w:p>
    <w:p>
      <w:pPr>
        <w:pStyle w:val="ListNumber"/>
      </w:pPr>
      <w:r>
        <w:t>Configura LOCAL_* en Render con la URL del túnel/servidor + /v1.</w:t>
      </w:r>
    </w:p>
    <w:p>
      <w:pPr>
        <w:pStyle w:val="ListNumber"/>
      </w:pPr>
      <w:r>
        <w:t>Mientras no haya local, ALLOW_CLOUD_FALLBACK=true hace que lo sensible use NaN real en vez del simulador.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LOCAL_ENABLED  = true</w:t>
      </w:r>
    </w:p>
    <w:p>
      <w:r>
        <w:rPr>
          <w:rFonts w:ascii="Consolas" w:hAnsi="Consolas"/>
          <w:color w:val="334155"/>
          <w:sz w:val="18"/>
        </w:rPr>
        <w:t>LOCAL_BASE_URL = https://&lt;tu-tunel-o-servidor&gt;/v1</w:t>
      </w:r>
    </w:p>
    <w:p>
      <w:r>
        <w:rPr>
          <w:rFonts w:ascii="Consolas" w:hAnsi="Consolas"/>
          <w:color w:val="334155"/>
          <w:sz w:val="18"/>
        </w:rPr>
        <w:t>LOCAL_MODEL    = llama3.1</w:t>
      </w:r>
    </w:p>
    <w:p>
      <w:r>
        <w:rPr>
          <w:b w:val="0"/>
          <w:i/>
          <w:color w:val="64748B"/>
          <w:sz w:val="21"/>
        </w:rPr>
        <w:t>Nota: Al conectar Ollama, lo sensible vuelve a la ruta local automáticamente (puedes apagar el fallback).</w:t>
      </w:r>
    </w:p>
    <w:p>
      <w:pPr>
        <w:pStyle w:val="Heading2"/>
      </w:pPr>
      <w:r>
        <w:t>G. n8n (workflows / automatización)</w:t>
      </w:r>
    </w:p>
    <w:p>
      <w:r>
        <w:rPr>
          <w:b w:val="0"/>
          <w:i w:val="0"/>
          <w:color w:val="334155"/>
          <w:sz w:val="21"/>
        </w:rPr>
        <w:t>Gestionado por defecto (cero config). BYO opcional para usar tu propio n8n.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Admin → n8n: Webhook Base URL + API key → Guardar (verás el motor y el origen).</w:t>
      </w:r>
    </w:p>
    <w:p>
      <w:pPr>
        <w:pStyle w:val="ListNumber"/>
      </w:pPr>
      <w:r>
        <w:t>O configura N8N_* en Render. N8N_AUTO_PROVISION crea los workflows por tenant.</w:t>
      </w:r>
    </w:p>
    <w:p>
      <w:pPr>
        <w:pStyle w:val="ListNumber"/>
      </w:pPr>
      <w:r>
        <w:t>En Automatizaciones usa acción «workflow» con el nombre del workflow como referencia.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N8N_ENABLED          = true</w:t>
      </w:r>
    </w:p>
    <w:p>
      <w:r>
        <w:rPr>
          <w:rFonts w:ascii="Consolas" w:hAnsi="Consolas"/>
          <w:color w:val="334155"/>
          <w:sz w:val="18"/>
        </w:rPr>
        <w:t>N8N_WEBHOOK_BASE_URL = https://&lt;tu-n8n&gt;/webhook</w:t>
      </w:r>
    </w:p>
    <w:p>
      <w:r>
        <w:rPr>
          <w:rFonts w:ascii="Consolas" w:hAnsi="Consolas"/>
          <w:color w:val="334155"/>
          <w:sz w:val="18"/>
        </w:rPr>
        <w:t>N8N_API_BASE_URL     = https://&lt;tu-n8n&gt;/api/v1</w:t>
      </w:r>
    </w:p>
    <w:p>
      <w:r>
        <w:rPr>
          <w:rFonts w:ascii="Consolas" w:hAnsi="Consolas"/>
          <w:color w:val="334155"/>
          <w:sz w:val="18"/>
        </w:rPr>
        <w:t>N8N_API_KEY          = &lt;api key de n8n&gt;</w:t>
      </w:r>
    </w:p>
    <w:p>
      <w:r>
        <w:rPr>
          <w:rFonts w:ascii="Consolas" w:hAnsi="Consolas"/>
          <w:color w:val="334155"/>
          <w:sz w:val="18"/>
        </w:rPr>
        <w:t>N8N_AUTO_PROVISION   = true</w:t>
      </w:r>
    </w:p>
    <w:p>
      <w:r>
        <w:rPr>
          <w:b w:val="0"/>
          <w:i/>
          <w:color w:val="64748B"/>
          <w:sz w:val="21"/>
        </w:rPr>
        <w:t>Nota: Regla de integración: webhooks para eventos, REST (conectores) para comandos, n8n para el resto.</w:t>
      </w:r>
    </w:p>
    <w:p>
      <w:pPr>
        <w:pStyle w:val="Heading2"/>
      </w:pPr>
      <w:r>
        <w:t>H. Reranking del RAG</w:t>
      </w:r>
    </w:p>
    <w:p>
      <w:r>
        <w:rPr>
          <w:b w:val="0"/>
          <w:i w:val="0"/>
          <w:color w:val="334155"/>
          <w:sz w:val="21"/>
        </w:rPr>
        <w:t>Mejora la precisión reordenando los candidatos recuperados.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Configura primero el proveedor abierto (NaN) — guía D.</w:t>
      </w:r>
    </w:p>
    <w:p>
      <w:pPr>
        <w:pStyle w:val="ListNumber"/>
      </w:pPr>
      <w:r>
        <w:t>Admin → Eficiencia de tokens → activa «Reranking RAG».</w:t>
      </w:r>
    </w:p>
    <w:p>
      <w:pPr>
        <w:pStyle w:val="ListNumber"/>
      </w:pPr>
      <w:r>
        <w:t>O configura RERANK_* en Render.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RERANK_ENABLED    = true</w:t>
      </w:r>
    </w:p>
    <w:p>
      <w:r>
        <w:rPr>
          <w:rFonts w:ascii="Consolas" w:hAnsi="Consolas"/>
          <w:color w:val="334155"/>
          <w:sz w:val="18"/>
        </w:rPr>
        <w:t>RERANK_MODEL      = rerank</w:t>
      </w:r>
    </w:p>
    <w:p>
      <w:r>
        <w:rPr>
          <w:rFonts w:ascii="Consolas" w:hAnsi="Consolas"/>
          <w:color w:val="334155"/>
          <w:sz w:val="18"/>
        </w:rPr>
        <w:t>RERANK_CANDIDATES = 20</w:t>
      </w:r>
    </w:p>
    <w:p>
      <w:r>
        <w:rPr>
          <w:b w:val="0"/>
          <w:i/>
          <w:color w:val="64748B"/>
          <w:sz w:val="21"/>
        </w:rPr>
        <w:t>Nota: Si el reranker falla, se usa el orden por coseno (sin romperse).</w:t>
      </w:r>
    </w:p>
    <w:p>
      <w:pPr>
        <w:pStyle w:val="Heading2"/>
      </w:pPr>
      <w:r>
        <w:t>I. Proteger ramas (GitHub) — gobernanza del código</w:t>
      </w:r>
    </w:p>
    <w:p>
      <w:r>
        <w:rPr>
          <w:b w:val="0"/>
          <w:i w:val="0"/>
          <w:color w:val="334155"/>
          <w:sz w:val="21"/>
        </w:rPr>
        <w:t>Evita pushes directos a producción; exige PR + CI verde. Requiere admin del repo.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Repo → Settings → Branches → Add branch ruleset (o Add branch protection rule).</w:t>
      </w:r>
    </w:p>
    <w:p>
      <w:pPr>
        <w:pStyle w:val="ListNumber"/>
      </w:pPr>
      <w:r>
        <w:t>Aplica a main y qa.</w:t>
      </w:r>
    </w:p>
    <w:p>
      <w:pPr>
        <w:pStyle w:val="ListNumber"/>
      </w:pPr>
      <w:r>
        <w:t>Activa: Require a pull request before merging.</w:t>
      </w:r>
    </w:p>
    <w:p>
      <w:pPr>
        <w:pStyle w:val="ListNumber"/>
      </w:pPr>
      <w:r>
        <w:t>Activa: Require status checks to pass → selecciona «API · pytest» y «Web · build».</w:t>
      </w:r>
    </w:p>
    <w:p>
      <w:pPr>
        <w:pStyle w:val="ListNumber"/>
      </w:pPr>
      <w:r>
        <w:t>(Opcional) Require branches to be up to date before merging. Guarda.</w:t>
      </w:r>
    </w:p>
    <w:p>
      <w:r>
        <w:rPr>
          <w:b w:val="0"/>
          <w:i/>
          <w:color w:val="64748B"/>
          <w:sz w:val="21"/>
        </w:rPr>
        <w:t>Nota: Con esto, nadie mete código a qa/main sin PR + CI en verde — el flujo dev → qa → main.</w:t>
      </w:r>
    </w:p>
    <w:p>
      <w:pPr>
        <w:pStyle w:val="Heading2"/>
      </w:pPr>
      <w:r>
        <w:t>J. Núcleo (Render) + Portal (Vercel) + Base de datos</w:t>
      </w:r>
    </w:p>
    <w:p>
      <w:r>
        <w:rPr>
          <w:b w:val="0"/>
          <w:i w:val="0"/>
          <w:color w:val="334155"/>
          <w:sz w:val="21"/>
        </w:rPr>
        <w:t>Variables base del backend y del portal, y la base de datos persistente.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Render → Environment: SECRET_KEY (32+), DATABASE_URL (Supabase Session Pooler), CORS_ORIGINS, APP_ENV=production.</w:t>
      </w:r>
    </w:p>
    <w:p>
      <w:pPr>
        <w:pStyle w:val="ListNumber"/>
      </w:pPr>
      <w:r>
        <w:t>Vercel → NEXT_PUBLIC_API_BASE_URL = URL del backend (sin / final); Root Directory apps/web; Production Branch main.</w:t>
      </w:r>
    </w:p>
    <w:p>
      <w:pPr>
        <w:pStyle w:val="ListNumber"/>
      </w:pPr>
      <w:r>
        <w:t>Supabase: usa la cadena Session Pooler (IPv4); el backend crea tablas y siembra el tenant demo al primer arranque.</w:t>
      </w:r>
    </w:p>
    <w:p>
      <w:pPr>
        <w:pStyle w:val="ListNumber"/>
      </w:pPr>
      <w:r>
        <w:t>Plan Render Starter para que el backend no se «duerma»; salud en /health.</w:t>
      </w:r>
    </w:p>
    <w:p>
      <w:r>
        <w:rPr>
          <w:b/>
          <w:i w:val="0"/>
          <w:color w:val="6D28D9"/>
          <w:sz w:val="21"/>
        </w:rPr>
        <w:t>Variables:</w:t>
      </w:r>
    </w:p>
    <w:p>
      <w:r>
        <w:rPr>
          <w:rFonts w:ascii="Consolas" w:hAnsi="Consolas"/>
          <w:color w:val="334155"/>
          <w:sz w:val="18"/>
        </w:rPr>
        <w:t>SECRET_KEY        = &lt;32+ caracteres&gt;</w:t>
      </w:r>
    </w:p>
    <w:p>
      <w:r>
        <w:rPr>
          <w:rFonts w:ascii="Consolas" w:hAnsi="Consolas"/>
          <w:color w:val="334155"/>
          <w:sz w:val="18"/>
        </w:rPr>
        <w:t>DATABASE_URL      = postgresql://...supabase... (Session Pooler)</w:t>
      </w:r>
    </w:p>
    <w:p>
      <w:r>
        <w:rPr>
          <w:rFonts w:ascii="Consolas" w:hAnsi="Consolas"/>
          <w:color w:val="334155"/>
          <w:sz w:val="18"/>
        </w:rPr>
        <w:t>CORS_ORIGINS      = https://plataforma.maestroai.mx</w:t>
      </w:r>
    </w:p>
    <w:p>
      <w:r>
        <w:rPr>
          <w:rFonts w:ascii="Consolas" w:hAnsi="Consolas"/>
          <w:color w:val="334155"/>
          <w:sz w:val="18"/>
        </w:rPr>
        <w:t>APP_ENV           = production</w:t>
      </w:r>
    </w:p>
    <w:p>
      <w:r>
        <w:rPr>
          <w:rFonts w:ascii="Consolas" w:hAnsi="Consolas"/>
          <w:color w:val="334155"/>
          <w:sz w:val="18"/>
        </w:rPr>
        <w:t>NEXT_PUBLIC_API_BASE_URL = https://&lt;tu-api&gt;   # en Vercel</w:t>
      </w:r>
    </w:p>
    <w:p>
      <w:r>
        <w:rPr>
          <w:b w:val="0"/>
          <w:i/>
          <w:color w:val="64748B"/>
          <w:sz w:val="21"/>
        </w:rPr>
        <w:t>Nota: Cada entorno (dev/qa/prod) usa sus propias variables y BD; las llaves de prod no se reutilizan en QA.</w:t>
      </w:r>
    </w:p>
    <w:p>
      <w:pPr>
        <w:pStyle w:val="Heading1"/>
      </w:pPr>
      <w:r>
        <w:t>7. Roles, permisos y multi-tenant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Rol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Puede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super_admin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Todo, a través de todos los tenants.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Configuración del tenant: marca, facturación, usuarios, modelos, integraciones.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Usar casos, agentes, documentos, automatizaciones.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Auditoría, políticas y revisión de eventos.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devops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Conectores e integraciones técnicas (fuentes de datos).</w:t>
            </w:r>
          </w:p>
        </w:tc>
      </w:tr>
    </w:tbl>
    <w:p/>
    <w:p>
      <w:r>
        <w:rPr>
          <w:b w:val="0"/>
          <w:i w:val="0"/>
          <w:color w:val="334155"/>
          <w:sz w:val="21"/>
        </w:rPr>
        <w:t>Permisos jerárquicos por área y licencia: el rol y el área deciden qué documentos y contexto ve cada quien. General/sin área es visible para todos; Admin, Security y Super Admin ven todas las áreas.</w:t>
      </w:r>
    </w:p>
    <w:p>
      <w:pPr>
        <w:pStyle w:val="Heading1"/>
      </w:pPr>
      <w:r>
        <w:t>8. Seguridad, privacidad y cumplimiento</w:t>
      </w:r>
    </w:p>
    <w:p>
      <w:pPr>
        <w:pStyle w:val="ListBullet"/>
      </w:pPr>
      <w:r>
        <w:t>Cifrado en reposo AES-256-GCM por tenant (documentos, fragmentos, credenciales).</w:t>
      </w:r>
    </w:p>
    <w:p>
      <w:pPr>
        <w:pStyle w:val="ListBullet"/>
      </w:pPr>
      <w:r>
        <w:t>Redacción de PII antes de cualquier salida externa; minimización de contexto.</w:t>
      </w:r>
    </w:p>
    <w:p>
      <w:pPr>
        <w:pStyle w:val="ListBullet"/>
      </w:pPr>
      <w:r>
        <w:t>Auditoría total con export a SIEM (JSONL).</w:t>
      </w:r>
    </w:p>
    <w:p>
      <w:pPr>
        <w:pStyle w:val="ListBullet"/>
      </w:pPr>
      <w:r>
        <w:t>Endurecimiento: denylist DML/CTE en fuentes de datos, escapado OData en Graph, config solo super admin.</w:t>
      </w:r>
    </w:p>
    <w:p>
      <w:pPr>
        <w:pStyle w:val="ListBullet"/>
      </w:pPr>
      <w:r>
        <w:t>Cumplimiento de referencia: LFPDPPP, OWASP Top 10 for LLM Apps 2025, NIST AI RMF.</w:t>
      </w:r>
    </w:p>
    <w:p>
      <w:pPr>
        <w:pStyle w:val="Heading1"/>
      </w:pPr>
      <w:r>
        <w:t>9. Entornos, CI/CD y operación</w:t>
      </w:r>
    </w:p>
    <w:p>
      <w:r>
        <w:rPr>
          <w:b w:val="0"/>
          <w:i w:val="0"/>
          <w:color w:val="334155"/>
          <w:sz w:val="21"/>
        </w:rPr>
        <w:t>Promoción dev → qa → main con PR y CI obligatorio (pytest + build). Cada push a main despliega portal (Vercel) y API (Render). Migraciones aditivas e idempotentes. Cada entorno usa sus propias variables y base de datos. Ayuda in-app en español + ayuda contextual (popup) por sección.</w:t>
      </w:r>
    </w:p>
    <w:p>
      <w:pPr>
        <w:pStyle w:val="Heading1"/>
      </w:pPr>
      <w:r>
        <w:t>10. Roadmap y pendientes</w:t>
      </w:r>
    </w:p>
    <w:p>
      <w:pPr>
        <w:pStyle w:val="ListBullet"/>
      </w:pPr>
      <w:r>
        <w:t>Catálogos de configuración empresarial (en definición con el cliente).</w:t>
      </w:r>
    </w:p>
    <w:p>
      <w:pPr>
        <w:pStyle w:val="ListBullet"/>
      </w:pPr>
      <w:r>
        <w:t>TTS (kokoro) y STT (whisper) de NaN: voz y transcripción hacia el RAG.</w:t>
      </w:r>
    </w:p>
    <w:p>
      <w:pPr>
        <w:pStyle w:val="ListBullet"/>
      </w:pPr>
      <w:r>
        <w:t>SFTP para sistemas legados (requiere paramiko).</w:t>
      </w:r>
    </w:p>
    <w:p>
      <w:pPr>
        <w:pStyle w:val="ListBullet"/>
      </w:pPr>
      <w:r>
        <w:t>Pendientes del cliente: proteger ramas, reconectar Microsoft con scopes, configurar premium/NaN.</w:t>
      </w:r>
    </w:p>
    <w:p>
      <w:r>
        <w:br w:type="page"/>
      </w:r>
    </w:p>
    <w:p>
      <w:pPr>
        <w:pStyle w:val="Heading1"/>
      </w:pPr>
      <w:r>
        <w:t>Apéndice A · Endpoints de la API (selección de 131)</w:t>
      </w:r>
    </w:p>
    <w:p>
      <w:pPr>
        <w:pStyle w:val="Heading3"/>
      </w:pPr>
      <w:r>
        <w:t>Autenticación / cuenta</w:t>
      </w:r>
    </w:p>
    <w:p>
      <w:pPr>
        <w:pStyle w:val="ListBullet"/>
      </w:pPr>
      <w:r>
        <w:t>POST /auth/login</w:t>
      </w:r>
    </w:p>
    <w:p>
      <w:pPr>
        <w:pStyle w:val="ListBullet"/>
      </w:pPr>
      <w:r>
        <w:t>GET /me</w:t>
      </w:r>
    </w:p>
    <w:p>
      <w:pPr>
        <w:pStyle w:val="ListBullet"/>
      </w:pPr>
      <w:r>
        <w:t>GET /account</w:t>
      </w:r>
    </w:p>
    <w:p>
      <w:pPr>
        <w:pStyle w:val="Heading3"/>
      </w:pPr>
      <w:r>
        <w:t>Chat y casos</w:t>
      </w:r>
    </w:p>
    <w:p>
      <w:pPr>
        <w:pStyle w:val="ListBullet"/>
      </w:pPr>
      <w:r>
        <w:t>POST /chat</w:t>
      </w:r>
    </w:p>
    <w:p>
      <w:pPr>
        <w:pStyle w:val="ListBullet"/>
      </w:pPr>
      <w:r>
        <w:t>POST /chat/preview</w:t>
      </w:r>
    </w:p>
    <w:p>
      <w:pPr>
        <w:pStyle w:val="ListBullet"/>
      </w:pPr>
      <w:r>
        <w:t>GET/POST /recipes</w:t>
      </w:r>
    </w:p>
    <w:p>
      <w:pPr>
        <w:pStyle w:val="ListBullet"/>
      </w:pPr>
      <w:r>
        <w:t>POST /recipes/{id}/start</w:t>
      </w:r>
    </w:p>
    <w:p>
      <w:pPr>
        <w:pStyle w:val="ListBullet"/>
      </w:pPr>
      <w:r>
        <w:t>POST /v1/cases/{recipe_id}/run</w:t>
      </w:r>
    </w:p>
    <w:p>
      <w:pPr>
        <w:pStyle w:val="Heading3"/>
      </w:pPr>
      <w:r>
        <w:t>Documentos y RAG</w:t>
      </w:r>
    </w:p>
    <w:p>
      <w:pPr>
        <w:pStyle w:val="ListBullet"/>
      </w:pPr>
      <w:r>
        <w:t>GET/POST /documents</w:t>
      </w:r>
    </w:p>
    <w:p>
      <w:pPr>
        <w:pStyle w:val="ListBullet"/>
      </w:pPr>
      <w:r>
        <w:t>POST /documents/upload</w:t>
      </w:r>
    </w:p>
    <w:p>
      <w:pPr>
        <w:pStyle w:val="ListBullet"/>
      </w:pPr>
      <w:r>
        <w:t>GET/POST /documents/categories</w:t>
      </w:r>
    </w:p>
    <w:p>
      <w:pPr>
        <w:pStyle w:val="ListBullet"/>
      </w:pPr>
      <w:r>
        <w:t>GET /drive/files</w:t>
      </w:r>
    </w:p>
    <w:p>
      <w:pPr>
        <w:pStyle w:val="ListBullet"/>
      </w:pPr>
      <w:r>
        <w:t>POST /drive/import</w:t>
      </w:r>
    </w:p>
    <w:p>
      <w:pPr>
        <w:pStyle w:val="Heading3"/>
      </w:pPr>
      <w:r>
        <w:t>Notebooks / Memoria</w:t>
      </w:r>
    </w:p>
    <w:p>
      <w:pPr>
        <w:pStyle w:val="ListBullet"/>
      </w:pPr>
      <w:r>
        <w:t>GET/POST /notebooks</w:t>
      </w:r>
    </w:p>
    <w:p>
      <w:pPr>
        <w:pStyle w:val="ListBullet"/>
      </w:pPr>
      <w:r>
        <w:t>POST /notebooks/{id}/ask</w:t>
      </w:r>
    </w:p>
    <w:p>
      <w:pPr>
        <w:pStyle w:val="ListBullet"/>
      </w:pPr>
      <w:r>
        <w:t>GET/POST /memory</w:t>
      </w:r>
    </w:p>
    <w:p>
      <w:pPr>
        <w:pStyle w:val="ListBullet"/>
      </w:pPr>
      <w:r>
        <w:t>GET /memory/tags</w:t>
      </w:r>
    </w:p>
    <w:p>
      <w:pPr>
        <w:pStyle w:val="Heading3"/>
      </w:pPr>
      <w:r>
        <w:t>Imágenes</w:t>
      </w:r>
    </w:p>
    <w:p>
      <w:pPr>
        <w:pStyle w:val="ListBullet"/>
      </w:pPr>
      <w:r>
        <w:t>GET /images/config</w:t>
      </w:r>
    </w:p>
    <w:p>
      <w:pPr>
        <w:pStyle w:val="ListBullet"/>
      </w:pPr>
      <w:r>
        <w:t>POST /images/generate</w:t>
      </w:r>
    </w:p>
    <w:p>
      <w:pPr>
        <w:pStyle w:val="ListBullet"/>
      </w:pPr>
      <w:r>
        <w:t>GET /images</w:t>
      </w:r>
    </w:p>
    <w:p>
      <w:pPr>
        <w:pStyle w:val="ListBullet"/>
      </w:pPr>
      <w:r>
        <w:t>GET /images/{id}/data</w:t>
      </w:r>
    </w:p>
    <w:p>
      <w:pPr>
        <w:pStyle w:val="Heading3"/>
      </w:pPr>
      <w:r>
        <w:t>Acciones</w:t>
      </w:r>
    </w:p>
    <w:p>
      <w:pPr>
        <w:pStyle w:val="ListBullet"/>
      </w:pPr>
      <w:r>
        <w:t>GET /actions</w:t>
      </w:r>
    </w:p>
    <w:p>
      <w:pPr>
        <w:pStyle w:val="ListBullet"/>
      </w:pPr>
      <w:r>
        <w:t>POST /actions/run</w:t>
      </w:r>
    </w:p>
    <w:p>
      <w:pPr>
        <w:pStyle w:val="ListBullet"/>
      </w:pPr>
      <w:r>
        <w:t>POST /actions/requests/{id}/approve</w:t>
      </w:r>
    </w:p>
    <w:p>
      <w:pPr>
        <w:pStyle w:val="ListBullet"/>
      </w:pPr>
      <w:r>
        <w:t>GET/DELETE /actions/grants</w:t>
      </w:r>
    </w:p>
    <w:p>
      <w:pPr>
        <w:pStyle w:val="Heading3"/>
      </w:pPr>
      <w:r>
        <w:t>Integraciones</w:t>
      </w:r>
    </w:p>
    <w:p>
      <w:pPr>
        <w:pStyle w:val="ListBullet"/>
      </w:pPr>
      <w:r>
        <w:t>GET/POST /integrations/connectors</w:t>
      </w:r>
    </w:p>
    <w:p>
      <w:pPr>
        <w:pStyle w:val="ListBullet"/>
      </w:pPr>
      <w:r>
        <w:t>POST /integrations/connectors/{id}/test</w:t>
      </w:r>
    </w:p>
    <w:p>
      <w:pPr>
        <w:pStyle w:val="ListBullet"/>
      </w:pPr>
      <w:r>
        <w:t>GET /integrations/connectors/{id}/reveal</w:t>
      </w:r>
    </w:p>
    <w:p>
      <w:pPr>
        <w:pStyle w:val="ListBullet"/>
      </w:pPr>
      <w:r>
        <w:t>GET/POST /datasources</w:t>
      </w:r>
    </w:p>
    <w:p>
      <w:pPr>
        <w:pStyle w:val="ListBullet"/>
      </w:pPr>
      <w:r>
        <w:t>POST /datasources/import-csv</w:t>
      </w:r>
    </w:p>
    <w:p>
      <w:pPr>
        <w:pStyle w:val="ListBullet"/>
      </w:pPr>
      <w:r>
        <w:t>POST /oauth/{provider}/authorize</w:t>
      </w:r>
    </w:p>
    <w:p>
      <w:pPr>
        <w:pStyle w:val="Heading3"/>
      </w:pPr>
      <w:r>
        <w:t>Automatizaciones</w:t>
      </w:r>
    </w:p>
    <w:p>
      <w:pPr>
        <w:pStyle w:val="ListBullet"/>
      </w:pPr>
      <w:r>
        <w:t>GET/POST /automations</w:t>
      </w:r>
    </w:p>
    <w:p>
      <w:pPr>
        <w:pStyle w:val="ListBullet"/>
      </w:pPr>
      <w:r>
        <w:t>POST /automations/from-template</w:t>
      </w:r>
    </w:p>
    <w:p>
      <w:pPr>
        <w:pStyle w:val="ListBullet"/>
      </w:pPr>
      <w:r>
        <w:t>POST /automations/{id}/run</w:t>
      </w:r>
    </w:p>
    <w:p>
      <w:pPr>
        <w:pStyle w:val="ListBullet"/>
      </w:pPr>
      <w:r>
        <w:t>POST /automations/run-due</w:t>
      </w:r>
    </w:p>
    <w:p>
      <w:pPr>
        <w:pStyle w:val="Heading3"/>
      </w:pPr>
      <w:r>
        <w:t>Admin</w:t>
      </w:r>
    </w:p>
    <w:p>
      <w:pPr>
        <w:pStyle w:val="ListBullet"/>
      </w:pPr>
      <w:r>
        <w:t>GET/PUT /admin/providers</w:t>
      </w:r>
    </w:p>
    <w:p>
      <w:pPr>
        <w:pStyle w:val="ListBullet"/>
      </w:pPr>
      <w:r>
        <w:t>POST /admin/providers/{route}/test</w:t>
      </w:r>
    </w:p>
    <w:p>
      <w:pPr>
        <w:pStyle w:val="ListBullet"/>
      </w:pPr>
      <w:r>
        <w:t>GET/PUT /admin/efficiency</w:t>
      </w:r>
    </w:p>
    <w:p>
      <w:pPr>
        <w:pStyle w:val="ListBullet"/>
      </w:pPr>
      <w:r>
        <w:t>GET/POST /admin/users</w:t>
      </w:r>
    </w:p>
    <w:p>
      <w:pPr>
        <w:pStyle w:val="ListBullet"/>
      </w:pPr>
      <w:r>
        <w:t>GET /admin/n8n</w:t>
      </w:r>
    </w:p>
    <w:p>
      <w:pPr>
        <w:pStyle w:val="Heading3"/>
      </w:pPr>
      <w:r>
        <w:t>Auditoría / salud</w:t>
      </w:r>
    </w:p>
    <w:p>
      <w:pPr>
        <w:pStyle w:val="ListBullet"/>
      </w:pPr>
      <w:r>
        <w:t>GET /audit</w:t>
      </w:r>
    </w:p>
    <w:p>
      <w:pPr>
        <w:pStyle w:val="ListBullet"/>
      </w:pPr>
      <w:r>
        <w:t>GET /audit/export</w:t>
      </w:r>
    </w:p>
    <w:p>
      <w:pPr>
        <w:pStyle w:val="ListBullet"/>
      </w:pPr>
      <w:r>
        <w:t>GET /usage</w:t>
      </w:r>
    </w:p>
    <w:p>
      <w:pPr>
        <w:pStyle w:val="ListBullet"/>
      </w:pPr>
      <w:r>
        <w:t>GET /health</w:t>
      </w:r>
    </w:p>
    <w:p>
      <w:pPr>
        <w:pStyle w:val="ListBullet"/>
      </w:pPr>
      <w:r>
        <w:t>POST /v1/webhooks/{id}</w:t>
      </w:r>
    </w:p>
    <w:p>
      <w:pPr>
        <w:pStyle w:val="Heading1"/>
      </w:pPr>
      <w:r>
        <w:t>Apéndice B · Catálogo de acciones del toolkit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Acción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Proveedor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Escritura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Parámetros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gmail.send / outlook.send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Google / Microsoft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to, subject, body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gcal/mscal.create_event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Google / Microsoft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summary, start, end, location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gsheets.append / excel.append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Google / Microsoft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id, range/table, values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teams.post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Microsoft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team_id, channel_id, message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gsheets.read / excel.read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Google / Microsoft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id, range/worksheet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gcal.list / mscal.list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Google / Microsoft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onedrive.list / sharepoint.search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Microsoft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query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D28D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D28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