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80"/>
        </w:rPr>
        <w:t>MaestroAI</w:t>
      </w:r>
    </w:p>
    <w:p>
      <w:pPr>
        <w:jc w:val="center"/>
      </w:pPr>
      <w:r>
        <w:rPr>
          <w:color w:val="334155"/>
          <w:sz w:val="26"/>
        </w:rPr>
        <w:t>AI privada y gobernada para empresas (Private AI Gateway + agentes verticales)</w:t>
      </w:r>
    </w:p>
    <w:p>
      <w:pPr>
        <w:jc w:val="center"/>
      </w:pPr>
      <w:r>
        <w:rPr>
          <w:i/>
        </w:rPr>
        <w:t>Documentación de la plataforma · 2026</w:t>
      </w:r>
    </w:p>
    <w:p>
      <w:r>
        <w:br w:type="page"/>
      </w:r>
    </w:p>
    <w:p>
      <w:pPr>
        <w:spacing w:before="240" w:after="120"/>
      </w:pPr>
      <w:r>
        <w:rPr>
          <w:b/>
          <w:color w:val="6D28D9"/>
          <w:sz w:val="40"/>
        </w:rPr>
        <w:t>1. Resumen ejecutivo</w:t>
      </w:r>
    </w:p>
    <w:p>
      <w:r>
        <w:t>MaestroAI es una plataforma de IA privada y gobernada: los datos se clasifican, la PII se redacta y un enrutador de privacidad decide si la consulta se procesa local, en VPC, con un modelo abierto (NaN) o premium — siempre auditado. Sobre esa base corren casos de uso verticales, RAG documental por área, automatizaciones e integraciones con las herramientas de la empresa.</w:t>
      </w:r>
    </w:p>
    <w:p>
      <w:pPr>
        <w:spacing w:before="240" w:after="120"/>
      </w:pPr>
      <w:r>
        <w:rPr>
          <w:b/>
          <w:color w:val="6D28D9"/>
          <w:sz w:val="40"/>
        </w:rPr>
        <w:t>2. Arquitectura</w:t>
      </w:r>
    </w:p>
    <w:p>
      <w:pPr>
        <w:pStyle w:val="ListBullet"/>
      </w:pPr>
      <w:r>
        <w:t>Portal (Next.js 15 + Tailwind) en Vercel.</w:t>
      </w:r>
    </w:p>
    <w:p>
      <w:pPr>
        <w:pStyle w:val="ListBullet"/>
      </w:pPr>
      <w:r>
        <w:t>API (FastAPI + SQLModel) en Render; Postgres en producción.</w:t>
      </w:r>
    </w:p>
    <w:p>
      <w:pPr>
        <w:pStyle w:val="ListBullet"/>
      </w:pPr>
      <w:r>
        <w:t>Router de privacidad: clasifica datos, redacta PII y decide la ruta del modelo — todo auditado.</w:t>
      </w:r>
    </w:p>
    <w:p>
      <w:pPr>
        <w:pStyle w:val="ListBullet"/>
      </w:pPr>
      <w:r>
        <w:t>RAG: chunking + embeddings (cifrados) + reranking (NaN) → citas.</w:t>
      </w:r>
    </w:p>
    <w:p>
      <w:pPr>
        <w:pStyle w:val="ListBullet"/>
      </w:pPr>
      <w:r>
        <w:t>Credenciales cifradas en reposo (AES-256-GCM por tenant).</w:t>
      </w:r>
    </w:p>
    <w:p>
      <w:pPr>
        <w:pStyle w:val="ListBullet"/>
      </w:pPr>
      <w:r>
        <w:t>CI/CD: GitHub Actions (pytest + build) con compuerta dev → qa → main.</w:t>
      </w:r>
    </w:p>
    <w:p>
      <w:pPr>
        <w:spacing w:before="240" w:after="120"/>
      </w:pPr>
      <w:r>
        <w:rPr>
          <w:b/>
          <w:color w:val="6D28D9"/>
          <w:sz w:val="40"/>
        </w:rPr>
        <w:t>3. Funcionalidades</w:t>
      </w:r>
    </w:p>
    <w:p>
      <w:pPr>
        <w:pStyle w:val="ListBullet"/>
      </w:pPr>
      <w:r>
        <w:rPr>
          <w:b/>
        </w:rPr>
        <w:t xml:space="preserve">Correo y cuentas: </w:t>
      </w:r>
      <w:r>
        <w:t>OAuth Outlook/Gmail + IMAP; varias cuentas por proveedor; caso «Resumen de correo y agenda».</w:t>
      </w:r>
    </w:p>
    <w:p>
      <w:pPr>
        <w:pStyle w:val="ListBullet"/>
      </w:pPr>
      <w:r>
        <w:rPr>
          <w:b/>
        </w:rPr>
        <w:t xml:space="preserve">Documentos y RAG: </w:t>
      </w:r>
      <w:r>
        <w:t>Repositorio por área + categorías; tratamiento (público/interno/confidencial/restringido) auto-detectado; borrar y re-etiquetar; Google Drive como contexto; índice cifrado.</w:t>
      </w:r>
    </w:p>
    <w:p>
      <w:pPr>
        <w:pStyle w:val="ListBullet"/>
      </w:pPr>
      <w:r>
        <w:rPr>
          <w:b/>
        </w:rPr>
        <w:t xml:space="preserve">Casos de uso (recetas): </w:t>
      </w:r>
      <w:r>
        <w:t>Paso universal objetivo/notas/formato; grounding por categoría; reporte por industria; export PDF/Word/Markdown/PPTX/XLSX.</w:t>
      </w:r>
    </w:p>
    <w:p>
      <w:pPr>
        <w:pStyle w:val="ListBullet"/>
      </w:pPr>
      <w:r>
        <w:rPr>
          <w:b/>
        </w:rPr>
        <w:t xml:space="preserve">Chat y Notebooks: </w:t>
      </w:r>
      <w:r>
        <w:t>Chat con 3 modos de contexto (sin contexto / todo / elegir); Notebooks estilo NotebookLM con citas y artefactos.</w:t>
      </w:r>
    </w:p>
    <w:p>
      <w:pPr>
        <w:pStyle w:val="ListBullet"/>
      </w:pPr>
      <w:r>
        <w:rPr>
          <w:b/>
        </w:rPr>
        <w:t xml:space="preserve">Modelos (router de privacidad): </w:t>
      </w:r>
      <w:r>
        <w:t>Clasifica sensibilidad + PII y enruta local/VPC/abierto(NaN)/premium/bloqueo. NaN-primero; premium solo como escalada a demanda. Reranking del RAG para precisión.</w:t>
      </w:r>
    </w:p>
    <w:p>
      <w:pPr>
        <w:pStyle w:val="ListBullet"/>
      </w:pPr>
      <w:r>
        <w:rPr>
          <w:b/>
        </w:rPr>
        <w:t xml:space="preserve">Eficiencia de tokens: </w:t>
      </w:r>
      <w:r>
        <w:t>Condensa contexto grande con el modelo barato antes de premium; tope de gasto por consulta; ahorro acumulado.</w:t>
      </w:r>
    </w:p>
    <w:p>
      <w:pPr>
        <w:pStyle w:val="ListBullet"/>
      </w:pPr>
      <w:r>
        <w:rPr>
          <w:b/>
        </w:rPr>
        <w:t xml:space="preserve">Toolkit de acciones: </w:t>
      </w:r>
      <w:r>
        <w:t>Gmail/Outlook (enviar), Calendar, Sheets/Excel (append), Teams, SharePoint search, OneDrive, lecturas. Aprobación humana + «Permitir siempre».</w:t>
      </w:r>
    </w:p>
    <w:p>
      <w:pPr>
        <w:pStyle w:val="ListBullet"/>
      </w:pPr>
      <w:r>
        <w:rPr>
          <w:b/>
        </w:rPr>
        <w:t xml:space="preserve">Imágenes (texto→imagen): </w:t>
      </w:r>
      <w:r>
        <w:t>Sección Generar imágenes (ruta estándar OpenAI); galería por área; PII redactada; auditada.</w:t>
      </w:r>
    </w:p>
    <w:p>
      <w:pPr>
        <w:pStyle w:val="ListBullet"/>
      </w:pPr>
      <w:r>
        <w:rPr>
          <w:b/>
        </w:rPr>
        <w:t xml:space="preserve">Integraciones legadas: </w:t>
      </w:r>
      <w:r>
        <w:t>Conectores REST de salida (CRM/ERP) con «ojito» de secretos; Webhooks firmados; BD de solo lectura y CSV → RAG; n8n para el resto.</w:t>
      </w:r>
    </w:p>
    <w:p>
      <w:pPr>
        <w:pStyle w:val="ListBullet"/>
      </w:pPr>
      <w:r>
        <w:rPr>
          <w:b/>
        </w:rPr>
        <w:t xml:space="preserve">Gobernanza y visibilidad: </w:t>
      </w:r>
      <w:r>
        <w:t>Super admin (multi-tenant) + permisos por área y licencia; flujogramas navegables; dashboard + auditoría navegable; Ayuda in-app en español.</w:t>
      </w:r>
    </w:p>
    <w:p>
      <w:pPr>
        <w:spacing w:before="240" w:after="120"/>
      </w:pPr>
      <w:r>
        <w:rPr>
          <w:b/>
          <w:color w:val="6D28D9"/>
          <w:sz w:val="40"/>
        </w:rPr>
        <w:t>4. Gobernanza y privacidad</w:t>
      </w:r>
    </w:p>
    <w:p>
      <w:r>
        <w:t>Reglas de ruteo del modelo (decididas automáticamente, nunca por el usuario):</w:t>
      </w:r>
    </w:p>
    <w:p>
      <w:pPr>
        <w:pStyle w:val="ListBullet"/>
      </w:pPr>
      <w:r>
        <w:t>Datos RESTRICTED → local, nunca salen.</w:t>
      </w:r>
    </w:p>
    <w:p>
      <w:pPr>
        <w:pStyle w:val="ListBullet"/>
      </w:pPr>
      <w:r>
        <w:t>CONFIDENTIAL → VPC privada (o local si no hay VPC).</w:t>
      </w:r>
    </w:p>
    <w:p>
      <w:pPr>
        <w:pStyle w:val="ListBullet"/>
      </w:pPr>
      <w:r>
        <w:t>PII sin alta sensibilidad → nunca a externo por defecto.</w:t>
      </w:r>
    </w:p>
    <w:p>
      <w:pPr>
        <w:pStyle w:val="ListBullet"/>
      </w:pPr>
      <w:r>
        <w:t>No sensible → empieza en NaN (open); premium solo a demanda o si la respuesta es insuficiente.</w:t>
      </w:r>
    </w:p>
    <w:p>
      <w:pPr>
        <w:pStyle w:val="ListBullet"/>
      </w:pPr>
      <w:r>
        <w:t>Todo queda auditado con su razón de ruteo.</w:t>
      </w:r>
    </w:p>
    <w:p>
      <w:r>
        <w:t>Cumplimiento de referencia: LFPDPPP, OWASP Top 10 for LLM Apps 2025, NIST AI RMF.</w:t>
      </w:r>
    </w:p>
    <w:p>
      <w:pPr>
        <w:spacing w:before="240" w:after="120"/>
      </w:pPr>
      <w:r>
        <w:rPr>
          <w:b/>
          <w:color w:val="6D28D9"/>
          <w:sz w:val="40"/>
        </w:rPr>
        <w:t>5. Entornos y despliegue</w:t>
      </w:r>
    </w:p>
    <w:p>
      <w:r>
        <w:t>Flujo de promoción dev → qa → main (prod) con CI obligatorio (pytest + build). Cada push a main despliega el portal (Vercel) y la API (Render). Migraciones aditivas idempotentes (sin pérdida de datos).</w:t>
      </w:r>
    </w:p>
    <w:p>
      <w:pPr>
        <w:spacing w:before="240" w:after="120"/>
      </w:pPr>
      <w:r>
        <w:rPr>
          <w:b/>
          <w:color w:val="6D28D9"/>
          <w:sz w:val="40"/>
        </w:rPr>
        <w:t>6. Proveedor NaN (modelo abierto)</w:t>
      </w:r>
    </w:p>
    <w:p>
      <w:r>
        <w:t>API compatible con OpenAI (base https://api.nan.builders/v1). Modelos: qwen3.6 (principal), deepseek-v4-flash, mimo-v2.5 (omnimodal), gemma4, qwen3-embedding, rerank (Qwen3-Reranker), kokoro (TTS), whisper (STT). Nota: su API no expone generación de imágenes (es función de su web).</w:t>
      </w:r>
    </w:p>
    <w:p>
      <w:pPr>
        <w:spacing w:before="240" w:after="120"/>
      </w:pPr>
      <w:r>
        <w:rPr>
          <w:b/>
          <w:color w:val="6D28D9"/>
          <w:sz w:val="40"/>
        </w:rPr>
        <w:t>7. Ayuda y operación</w:t>
      </w:r>
    </w:p>
    <w:p>
      <w:r>
        <w:t>La plataforma incluye Ayuda in-app en español con guías paso a paso (conectar n8n, correo, documentos/RAG, acciones, conectores, importar BD/CSV, modelos/cascada/rerank, imágenes y webhooks) y ayuda contextual por sección.</w:t>
      </w:r>
    </w:p>
    <w:p>
      <w:pPr>
        <w:spacing w:before="240" w:after="120"/>
      </w:pPr>
      <w:r>
        <w:rPr>
          <w:b/>
          <w:color w:val="6D28D9"/>
          <w:sz w:val="40"/>
        </w:rPr>
        <w:t>8. Pendientes de configuración del cliente</w:t>
      </w:r>
    </w:p>
    <w:p>
      <w:pPr>
        <w:pStyle w:val="ListBullet"/>
      </w:pPr>
      <w:r>
        <w:t>Proteger ramas (main/qa) en GitHub — requiere admin del repo.</w:t>
      </w:r>
    </w:p>
    <w:p>
      <w:pPr>
        <w:pStyle w:val="ListBullet"/>
      </w:pPr>
      <w:r>
        <w:t>Reconectar Microsoft con scopes nuevos (Excel/SharePoint/OneDrive).</w:t>
      </w:r>
    </w:p>
    <w:p>
      <w:pPr>
        <w:pStyle w:val="ListBullet"/>
      </w:pPr>
      <w:r>
        <w:t>Configurar proveedor premium/NaN y «Probar conexión».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