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419E9" w14:textId="24E3E8A7" w:rsidR="00BF7687" w:rsidRDefault="00BF7687" w:rsidP="00BF7687">
      <w:pPr>
        <w:pStyle w:val="Prrafodelista"/>
        <w:numPr>
          <w:ilvl w:val="0"/>
          <w:numId w:val="1"/>
        </w:numPr>
        <w:spacing w:after="0"/>
      </w:pPr>
      <w:r w:rsidRPr="00BF7687">
        <w:t>¿Qué categorías generan más pérdidas cuando hay descuento?</w:t>
      </w:r>
    </w:p>
    <w:tbl>
      <w:tblPr>
        <w:tblW w:w="9980" w:type="dxa"/>
        <w:tblCellMar>
          <w:left w:w="70" w:type="dxa"/>
          <w:right w:w="70" w:type="dxa"/>
        </w:tblCellMar>
        <w:tblLook w:val="04A0" w:firstRow="1" w:lastRow="0" w:firstColumn="1" w:lastColumn="0" w:noHBand="0" w:noVBand="1"/>
      </w:tblPr>
      <w:tblGrid>
        <w:gridCol w:w="2400"/>
        <w:gridCol w:w="2560"/>
        <w:gridCol w:w="2160"/>
        <w:gridCol w:w="2860"/>
      </w:tblGrid>
      <w:tr w:rsidR="00BF7687" w:rsidRPr="00BF7687" w14:paraId="7561608E" w14:textId="77777777" w:rsidTr="00BF7687">
        <w:trPr>
          <w:trHeight w:val="315"/>
        </w:trPr>
        <w:tc>
          <w:tcPr>
            <w:tcW w:w="2400" w:type="dxa"/>
            <w:tcBorders>
              <w:top w:val="nil"/>
              <w:left w:val="nil"/>
              <w:bottom w:val="single" w:sz="4" w:space="0" w:color="EF8B69"/>
              <w:right w:val="nil"/>
            </w:tcBorders>
            <w:shd w:val="clear" w:color="FAD9CD" w:fill="FAD9CD"/>
            <w:noWrap/>
            <w:vAlign w:val="bottom"/>
            <w:hideMark/>
          </w:tcPr>
          <w:p w14:paraId="35D27706" w14:textId="77777777" w:rsidR="00BF7687" w:rsidRPr="00BF7687" w:rsidRDefault="00BF7687" w:rsidP="00BF7687">
            <w:pPr>
              <w:spacing w:after="0" w:line="240" w:lineRule="auto"/>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Etiquetas de fila</w:t>
            </w:r>
          </w:p>
        </w:tc>
        <w:tc>
          <w:tcPr>
            <w:tcW w:w="2560" w:type="dxa"/>
            <w:tcBorders>
              <w:top w:val="nil"/>
              <w:left w:val="nil"/>
              <w:bottom w:val="single" w:sz="4" w:space="0" w:color="EF8B69"/>
              <w:right w:val="nil"/>
            </w:tcBorders>
            <w:shd w:val="clear" w:color="FAD9CD" w:fill="FAD9CD"/>
            <w:noWrap/>
            <w:vAlign w:val="bottom"/>
            <w:hideMark/>
          </w:tcPr>
          <w:p w14:paraId="662CF745" w14:textId="77777777" w:rsidR="00BF7687" w:rsidRPr="00BF7687" w:rsidRDefault="00BF7687" w:rsidP="00BF7687">
            <w:pPr>
              <w:spacing w:after="0" w:line="240" w:lineRule="auto"/>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 xml:space="preserve">Cuenta de </w:t>
            </w:r>
            <w:proofErr w:type="spellStart"/>
            <w:r w:rsidRPr="00BF7687">
              <w:rPr>
                <w:rFonts w:ascii="Rockwell" w:eastAsia="Times New Roman" w:hAnsi="Rockwell" w:cs="Times New Roman"/>
                <w:b/>
                <w:bCs/>
                <w:color w:val="000000"/>
                <w:sz w:val="24"/>
                <w:szCs w:val="24"/>
                <w:lang w:eastAsia="es-PA"/>
              </w:rPr>
              <w:t>Order</w:t>
            </w:r>
            <w:proofErr w:type="spellEnd"/>
            <w:r w:rsidRPr="00BF7687">
              <w:rPr>
                <w:rFonts w:ascii="Rockwell" w:eastAsia="Times New Roman" w:hAnsi="Rockwell" w:cs="Times New Roman"/>
                <w:b/>
                <w:bCs/>
                <w:color w:val="000000"/>
                <w:sz w:val="24"/>
                <w:szCs w:val="24"/>
                <w:lang w:eastAsia="es-PA"/>
              </w:rPr>
              <w:t xml:space="preserve"> ID</w:t>
            </w:r>
          </w:p>
        </w:tc>
        <w:tc>
          <w:tcPr>
            <w:tcW w:w="2160" w:type="dxa"/>
            <w:tcBorders>
              <w:top w:val="nil"/>
              <w:left w:val="nil"/>
              <w:bottom w:val="single" w:sz="4" w:space="0" w:color="EF8B69"/>
              <w:right w:val="nil"/>
            </w:tcBorders>
            <w:shd w:val="clear" w:color="FAD9CD" w:fill="FAD9CD"/>
            <w:noWrap/>
            <w:vAlign w:val="bottom"/>
            <w:hideMark/>
          </w:tcPr>
          <w:p w14:paraId="661706F4" w14:textId="77777777" w:rsidR="00BF7687" w:rsidRPr="00BF7687" w:rsidRDefault="00BF7687" w:rsidP="00BF7687">
            <w:pPr>
              <w:spacing w:after="0" w:line="240" w:lineRule="auto"/>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 xml:space="preserve">Suma de </w:t>
            </w:r>
            <w:proofErr w:type="spellStart"/>
            <w:r w:rsidRPr="00BF7687">
              <w:rPr>
                <w:rFonts w:ascii="Rockwell" w:eastAsia="Times New Roman" w:hAnsi="Rockwell" w:cs="Times New Roman"/>
                <w:b/>
                <w:bCs/>
                <w:color w:val="000000"/>
                <w:sz w:val="24"/>
                <w:szCs w:val="24"/>
                <w:lang w:eastAsia="es-PA"/>
              </w:rPr>
              <w:t>Profit</w:t>
            </w:r>
            <w:proofErr w:type="spellEnd"/>
          </w:p>
        </w:tc>
        <w:tc>
          <w:tcPr>
            <w:tcW w:w="2860" w:type="dxa"/>
            <w:tcBorders>
              <w:top w:val="nil"/>
              <w:left w:val="nil"/>
              <w:bottom w:val="single" w:sz="4" w:space="0" w:color="EF8B69"/>
              <w:right w:val="nil"/>
            </w:tcBorders>
            <w:shd w:val="clear" w:color="FAD9CD" w:fill="FAD9CD"/>
            <w:noWrap/>
            <w:vAlign w:val="bottom"/>
            <w:hideMark/>
          </w:tcPr>
          <w:p w14:paraId="1C72A645" w14:textId="77777777" w:rsidR="00BF7687" w:rsidRPr="00BF7687" w:rsidRDefault="00BF7687" w:rsidP="00BF7687">
            <w:pPr>
              <w:spacing w:after="0" w:line="240" w:lineRule="auto"/>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 xml:space="preserve">Promedio de </w:t>
            </w:r>
            <w:proofErr w:type="spellStart"/>
            <w:r w:rsidRPr="00BF7687">
              <w:rPr>
                <w:rFonts w:ascii="Rockwell" w:eastAsia="Times New Roman" w:hAnsi="Rockwell" w:cs="Times New Roman"/>
                <w:b/>
                <w:bCs/>
                <w:color w:val="000000"/>
                <w:sz w:val="24"/>
                <w:szCs w:val="24"/>
                <w:lang w:eastAsia="es-PA"/>
              </w:rPr>
              <w:t>Discount</w:t>
            </w:r>
            <w:proofErr w:type="spellEnd"/>
          </w:p>
        </w:tc>
      </w:tr>
      <w:tr w:rsidR="00BF7687" w:rsidRPr="00BF7687" w14:paraId="450548E1" w14:textId="77777777" w:rsidTr="00BF7687">
        <w:trPr>
          <w:trHeight w:val="315"/>
        </w:trPr>
        <w:tc>
          <w:tcPr>
            <w:tcW w:w="2400" w:type="dxa"/>
            <w:tcBorders>
              <w:top w:val="nil"/>
              <w:left w:val="nil"/>
              <w:bottom w:val="nil"/>
              <w:right w:val="nil"/>
            </w:tcBorders>
            <w:shd w:val="clear" w:color="auto" w:fill="auto"/>
            <w:noWrap/>
            <w:vAlign w:val="bottom"/>
            <w:hideMark/>
          </w:tcPr>
          <w:p w14:paraId="33C23055" w14:textId="77777777" w:rsidR="00BF7687" w:rsidRPr="00BF7687" w:rsidRDefault="00BF7687" w:rsidP="00BF7687">
            <w:pPr>
              <w:spacing w:after="0" w:line="240" w:lineRule="auto"/>
              <w:rPr>
                <w:rFonts w:ascii="Rockwell" w:eastAsia="Times New Roman" w:hAnsi="Rockwell" w:cs="Times New Roman"/>
                <w:color w:val="000000"/>
                <w:sz w:val="24"/>
                <w:szCs w:val="24"/>
                <w:lang w:eastAsia="es-PA"/>
              </w:rPr>
            </w:pPr>
            <w:proofErr w:type="spellStart"/>
            <w:r w:rsidRPr="00BF7687">
              <w:rPr>
                <w:rFonts w:ascii="Rockwell" w:eastAsia="Times New Roman" w:hAnsi="Rockwell" w:cs="Times New Roman"/>
                <w:color w:val="000000"/>
                <w:sz w:val="24"/>
                <w:szCs w:val="24"/>
                <w:lang w:eastAsia="es-PA"/>
              </w:rPr>
              <w:t>Furniture</w:t>
            </w:r>
            <w:proofErr w:type="spellEnd"/>
          </w:p>
        </w:tc>
        <w:tc>
          <w:tcPr>
            <w:tcW w:w="2560" w:type="dxa"/>
            <w:tcBorders>
              <w:top w:val="nil"/>
              <w:left w:val="nil"/>
              <w:bottom w:val="nil"/>
              <w:right w:val="nil"/>
            </w:tcBorders>
            <w:shd w:val="clear" w:color="auto" w:fill="auto"/>
            <w:noWrap/>
            <w:vAlign w:val="bottom"/>
            <w:hideMark/>
          </w:tcPr>
          <w:p w14:paraId="3BC4F363" w14:textId="77777777" w:rsidR="00BF7687" w:rsidRPr="00BF7687" w:rsidRDefault="00BF7687" w:rsidP="00BF7687">
            <w:pPr>
              <w:spacing w:after="0" w:line="240" w:lineRule="auto"/>
              <w:jc w:val="right"/>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714</w:t>
            </w:r>
          </w:p>
        </w:tc>
        <w:tc>
          <w:tcPr>
            <w:tcW w:w="2160" w:type="dxa"/>
            <w:tcBorders>
              <w:top w:val="nil"/>
              <w:left w:val="nil"/>
              <w:bottom w:val="nil"/>
              <w:right w:val="nil"/>
            </w:tcBorders>
            <w:shd w:val="clear" w:color="auto" w:fill="auto"/>
            <w:noWrap/>
            <w:vAlign w:val="bottom"/>
            <w:hideMark/>
          </w:tcPr>
          <w:p w14:paraId="0DB9F3E3" w14:textId="77777777" w:rsidR="00BF7687" w:rsidRPr="00BF7687" w:rsidRDefault="00BF7687" w:rsidP="00BF7687">
            <w:pPr>
              <w:spacing w:after="0" w:line="240" w:lineRule="auto"/>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 xml:space="preserve">-B/.     60,936.11 </w:t>
            </w:r>
          </w:p>
        </w:tc>
        <w:tc>
          <w:tcPr>
            <w:tcW w:w="2860" w:type="dxa"/>
            <w:tcBorders>
              <w:top w:val="nil"/>
              <w:left w:val="nil"/>
              <w:bottom w:val="nil"/>
              <w:right w:val="nil"/>
            </w:tcBorders>
            <w:shd w:val="clear" w:color="auto" w:fill="auto"/>
            <w:noWrap/>
            <w:vAlign w:val="bottom"/>
            <w:hideMark/>
          </w:tcPr>
          <w:p w14:paraId="31CDF38D" w14:textId="77777777" w:rsidR="00BF7687" w:rsidRPr="00BF7687" w:rsidRDefault="00BF7687" w:rsidP="00BF7687">
            <w:pPr>
              <w:spacing w:after="0" w:line="240" w:lineRule="auto"/>
              <w:jc w:val="right"/>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0.37</w:t>
            </w:r>
          </w:p>
        </w:tc>
      </w:tr>
      <w:tr w:rsidR="00BF7687" w:rsidRPr="00BF7687" w14:paraId="52F7A64D" w14:textId="77777777" w:rsidTr="00BF7687">
        <w:trPr>
          <w:trHeight w:val="315"/>
        </w:trPr>
        <w:tc>
          <w:tcPr>
            <w:tcW w:w="2400" w:type="dxa"/>
            <w:tcBorders>
              <w:top w:val="nil"/>
              <w:left w:val="nil"/>
              <w:bottom w:val="nil"/>
              <w:right w:val="nil"/>
            </w:tcBorders>
            <w:shd w:val="clear" w:color="auto" w:fill="auto"/>
            <w:noWrap/>
            <w:vAlign w:val="bottom"/>
            <w:hideMark/>
          </w:tcPr>
          <w:p w14:paraId="76C9C5B6" w14:textId="77777777" w:rsidR="00BF7687" w:rsidRPr="00BF7687" w:rsidRDefault="00BF7687" w:rsidP="00BF7687">
            <w:pPr>
              <w:spacing w:after="0" w:line="240" w:lineRule="auto"/>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 xml:space="preserve">Office </w:t>
            </w:r>
            <w:proofErr w:type="spellStart"/>
            <w:r w:rsidRPr="00BF7687">
              <w:rPr>
                <w:rFonts w:ascii="Rockwell" w:eastAsia="Times New Roman" w:hAnsi="Rockwell" w:cs="Times New Roman"/>
                <w:color w:val="000000"/>
                <w:sz w:val="24"/>
                <w:szCs w:val="24"/>
                <w:lang w:eastAsia="es-PA"/>
              </w:rPr>
              <w:t>Supplies</w:t>
            </w:r>
            <w:proofErr w:type="spellEnd"/>
          </w:p>
        </w:tc>
        <w:tc>
          <w:tcPr>
            <w:tcW w:w="2560" w:type="dxa"/>
            <w:tcBorders>
              <w:top w:val="nil"/>
              <w:left w:val="nil"/>
              <w:bottom w:val="nil"/>
              <w:right w:val="nil"/>
            </w:tcBorders>
            <w:shd w:val="clear" w:color="auto" w:fill="auto"/>
            <w:noWrap/>
            <w:vAlign w:val="bottom"/>
            <w:hideMark/>
          </w:tcPr>
          <w:p w14:paraId="35B2DF7D" w14:textId="77777777" w:rsidR="00BF7687" w:rsidRPr="00BF7687" w:rsidRDefault="00BF7687" w:rsidP="00BF7687">
            <w:pPr>
              <w:spacing w:after="0" w:line="240" w:lineRule="auto"/>
              <w:jc w:val="right"/>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886</w:t>
            </w:r>
          </w:p>
        </w:tc>
        <w:tc>
          <w:tcPr>
            <w:tcW w:w="2160" w:type="dxa"/>
            <w:tcBorders>
              <w:top w:val="nil"/>
              <w:left w:val="nil"/>
              <w:bottom w:val="nil"/>
              <w:right w:val="nil"/>
            </w:tcBorders>
            <w:shd w:val="clear" w:color="auto" w:fill="auto"/>
            <w:noWrap/>
            <w:vAlign w:val="bottom"/>
            <w:hideMark/>
          </w:tcPr>
          <w:p w14:paraId="2A34885E" w14:textId="77777777" w:rsidR="00BF7687" w:rsidRPr="00BF7687" w:rsidRDefault="00BF7687" w:rsidP="00BF7687">
            <w:pPr>
              <w:spacing w:after="0" w:line="240" w:lineRule="auto"/>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 xml:space="preserve">-B/.     56,615.26 </w:t>
            </w:r>
          </w:p>
        </w:tc>
        <w:tc>
          <w:tcPr>
            <w:tcW w:w="2860" w:type="dxa"/>
            <w:tcBorders>
              <w:top w:val="nil"/>
              <w:left w:val="nil"/>
              <w:bottom w:val="nil"/>
              <w:right w:val="nil"/>
            </w:tcBorders>
            <w:shd w:val="clear" w:color="auto" w:fill="auto"/>
            <w:noWrap/>
            <w:vAlign w:val="bottom"/>
            <w:hideMark/>
          </w:tcPr>
          <w:p w14:paraId="3C603C57" w14:textId="77777777" w:rsidR="00BF7687" w:rsidRPr="00BF7687" w:rsidRDefault="00BF7687" w:rsidP="00BF7687">
            <w:pPr>
              <w:spacing w:after="0" w:line="240" w:lineRule="auto"/>
              <w:jc w:val="right"/>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0.62</w:t>
            </w:r>
          </w:p>
        </w:tc>
      </w:tr>
      <w:tr w:rsidR="00BF7687" w:rsidRPr="00BF7687" w14:paraId="45B3AF41" w14:textId="77777777" w:rsidTr="00BF7687">
        <w:trPr>
          <w:trHeight w:val="315"/>
        </w:trPr>
        <w:tc>
          <w:tcPr>
            <w:tcW w:w="2400" w:type="dxa"/>
            <w:tcBorders>
              <w:top w:val="nil"/>
              <w:left w:val="nil"/>
              <w:bottom w:val="nil"/>
              <w:right w:val="nil"/>
            </w:tcBorders>
            <w:shd w:val="clear" w:color="auto" w:fill="auto"/>
            <w:noWrap/>
            <w:vAlign w:val="bottom"/>
            <w:hideMark/>
          </w:tcPr>
          <w:p w14:paraId="01B3C9DE" w14:textId="77777777" w:rsidR="00BF7687" w:rsidRPr="00BF7687" w:rsidRDefault="00BF7687" w:rsidP="00BF7687">
            <w:pPr>
              <w:spacing w:after="0" w:line="240" w:lineRule="auto"/>
              <w:rPr>
                <w:rFonts w:ascii="Rockwell" w:eastAsia="Times New Roman" w:hAnsi="Rockwell" w:cs="Times New Roman"/>
                <w:color w:val="000000"/>
                <w:sz w:val="24"/>
                <w:szCs w:val="24"/>
                <w:lang w:eastAsia="es-PA"/>
              </w:rPr>
            </w:pPr>
            <w:proofErr w:type="spellStart"/>
            <w:r w:rsidRPr="00BF7687">
              <w:rPr>
                <w:rFonts w:ascii="Rockwell" w:eastAsia="Times New Roman" w:hAnsi="Rockwell" w:cs="Times New Roman"/>
                <w:color w:val="000000"/>
                <w:sz w:val="24"/>
                <w:szCs w:val="24"/>
                <w:lang w:eastAsia="es-PA"/>
              </w:rPr>
              <w:t>Technology</w:t>
            </w:r>
            <w:proofErr w:type="spellEnd"/>
          </w:p>
        </w:tc>
        <w:tc>
          <w:tcPr>
            <w:tcW w:w="2560" w:type="dxa"/>
            <w:tcBorders>
              <w:top w:val="nil"/>
              <w:left w:val="nil"/>
              <w:bottom w:val="nil"/>
              <w:right w:val="nil"/>
            </w:tcBorders>
            <w:shd w:val="clear" w:color="auto" w:fill="auto"/>
            <w:noWrap/>
            <w:vAlign w:val="bottom"/>
            <w:hideMark/>
          </w:tcPr>
          <w:p w14:paraId="695400B8" w14:textId="77777777" w:rsidR="00BF7687" w:rsidRPr="00BF7687" w:rsidRDefault="00BF7687" w:rsidP="00BF7687">
            <w:pPr>
              <w:spacing w:after="0" w:line="240" w:lineRule="auto"/>
              <w:jc w:val="right"/>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271</w:t>
            </w:r>
          </w:p>
        </w:tc>
        <w:tc>
          <w:tcPr>
            <w:tcW w:w="2160" w:type="dxa"/>
            <w:tcBorders>
              <w:top w:val="nil"/>
              <w:left w:val="nil"/>
              <w:bottom w:val="nil"/>
              <w:right w:val="nil"/>
            </w:tcBorders>
            <w:shd w:val="clear" w:color="auto" w:fill="auto"/>
            <w:noWrap/>
            <w:vAlign w:val="bottom"/>
            <w:hideMark/>
          </w:tcPr>
          <w:p w14:paraId="56AC8017" w14:textId="77777777" w:rsidR="00BF7687" w:rsidRPr="00BF7687" w:rsidRDefault="00BF7687" w:rsidP="00BF7687">
            <w:pPr>
              <w:spacing w:after="0" w:line="240" w:lineRule="auto"/>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 xml:space="preserve">-B/.     38,579.92 </w:t>
            </w:r>
          </w:p>
        </w:tc>
        <w:tc>
          <w:tcPr>
            <w:tcW w:w="2860" w:type="dxa"/>
            <w:tcBorders>
              <w:top w:val="nil"/>
              <w:left w:val="nil"/>
              <w:bottom w:val="nil"/>
              <w:right w:val="nil"/>
            </w:tcBorders>
            <w:shd w:val="clear" w:color="auto" w:fill="auto"/>
            <w:noWrap/>
            <w:vAlign w:val="bottom"/>
            <w:hideMark/>
          </w:tcPr>
          <w:p w14:paraId="32BADCC1" w14:textId="77777777" w:rsidR="00BF7687" w:rsidRPr="00BF7687" w:rsidRDefault="00BF7687" w:rsidP="00BF7687">
            <w:pPr>
              <w:spacing w:after="0" w:line="240" w:lineRule="auto"/>
              <w:jc w:val="right"/>
              <w:rPr>
                <w:rFonts w:ascii="Rockwell" w:eastAsia="Times New Roman" w:hAnsi="Rockwell" w:cs="Times New Roman"/>
                <w:color w:val="000000"/>
                <w:sz w:val="24"/>
                <w:szCs w:val="24"/>
                <w:lang w:eastAsia="es-PA"/>
              </w:rPr>
            </w:pPr>
            <w:r w:rsidRPr="00BF7687">
              <w:rPr>
                <w:rFonts w:ascii="Rockwell" w:eastAsia="Times New Roman" w:hAnsi="Rockwell" w:cs="Times New Roman"/>
                <w:color w:val="000000"/>
                <w:sz w:val="24"/>
                <w:szCs w:val="24"/>
                <w:lang w:eastAsia="es-PA"/>
              </w:rPr>
              <w:t>0.33</w:t>
            </w:r>
          </w:p>
        </w:tc>
      </w:tr>
      <w:tr w:rsidR="00BF7687" w:rsidRPr="00BF7687" w14:paraId="14DD7B44" w14:textId="77777777" w:rsidTr="00BF7687">
        <w:trPr>
          <w:trHeight w:val="315"/>
        </w:trPr>
        <w:tc>
          <w:tcPr>
            <w:tcW w:w="2400" w:type="dxa"/>
            <w:tcBorders>
              <w:top w:val="single" w:sz="4" w:space="0" w:color="EF8B69"/>
              <w:left w:val="nil"/>
              <w:bottom w:val="nil"/>
              <w:right w:val="nil"/>
            </w:tcBorders>
            <w:shd w:val="clear" w:color="FAD9CD" w:fill="FAD9CD"/>
            <w:noWrap/>
            <w:vAlign w:val="bottom"/>
            <w:hideMark/>
          </w:tcPr>
          <w:p w14:paraId="195733F9" w14:textId="77777777" w:rsidR="00BF7687" w:rsidRPr="00BF7687" w:rsidRDefault="00BF7687" w:rsidP="00BF7687">
            <w:pPr>
              <w:spacing w:after="0" w:line="240" w:lineRule="auto"/>
              <w:rPr>
                <w:rFonts w:ascii="Rockwell" w:eastAsia="Times New Roman" w:hAnsi="Rockwell" w:cs="Times New Roman"/>
                <w:b/>
                <w:bCs/>
                <w:color w:val="000000"/>
                <w:sz w:val="24"/>
                <w:szCs w:val="24"/>
                <w:lang w:eastAsia="es-PA"/>
              </w:rPr>
            </w:pPr>
            <w:proofErr w:type="gramStart"/>
            <w:r w:rsidRPr="00BF7687">
              <w:rPr>
                <w:rFonts w:ascii="Rockwell" w:eastAsia="Times New Roman" w:hAnsi="Rockwell" w:cs="Times New Roman"/>
                <w:b/>
                <w:bCs/>
                <w:color w:val="000000"/>
                <w:sz w:val="24"/>
                <w:szCs w:val="24"/>
                <w:lang w:eastAsia="es-PA"/>
              </w:rPr>
              <w:t>Total</w:t>
            </w:r>
            <w:proofErr w:type="gramEnd"/>
            <w:r w:rsidRPr="00BF7687">
              <w:rPr>
                <w:rFonts w:ascii="Rockwell" w:eastAsia="Times New Roman" w:hAnsi="Rockwell" w:cs="Times New Roman"/>
                <w:b/>
                <w:bCs/>
                <w:color w:val="000000"/>
                <w:sz w:val="24"/>
                <w:szCs w:val="24"/>
                <w:lang w:eastAsia="es-PA"/>
              </w:rPr>
              <w:t xml:space="preserve"> general</w:t>
            </w:r>
          </w:p>
        </w:tc>
        <w:tc>
          <w:tcPr>
            <w:tcW w:w="2560" w:type="dxa"/>
            <w:tcBorders>
              <w:top w:val="single" w:sz="4" w:space="0" w:color="EF8B69"/>
              <w:left w:val="nil"/>
              <w:bottom w:val="nil"/>
              <w:right w:val="nil"/>
            </w:tcBorders>
            <w:shd w:val="clear" w:color="FAD9CD" w:fill="FAD9CD"/>
            <w:noWrap/>
            <w:vAlign w:val="bottom"/>
            <w:hideMark/>
          </w:tcPr>
          <w:p w14:paraId="41718563" w14:textId="77777777" w:rsidR="00BF7687" w:rsidRPr="00BF7687" w:rsidRDefault="00BF7687" w:rsidP="00BF7687">
            <w:pPr>
              <w:spacing w:after="0" w:line="240" w:lineRule="auto"/>
              <w:jc w:val="right"/>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1871</w:t>
            </w:r>
          </w:p>
        </w:tc>
        <w:tc>
          <w:tcPr>
            <w:tcW w:w="2160" w:type="dxa"/>
            <w:tcBorders>
              <w:top w:val="single" w:sz="4" w:space="0" w:color="EF8B69"/>
              <w:left w:val="nil"/>
              <w:bottom w:val="nil"/>
              <w:right w:val="nil"/>
            </w:tcBorders>
            <w:shd w:val="clear" w:color="FAD9CD" w:fill="FAD9CD"/>
            <w:noWrap/>
            <w:vAlign w:val="bottom"/>
            <w:hideMark/>
          </w:tcPr>
          <w:p w14:paraId="3B170E11" w14:textId="77777777" w:rsidR="00BF7687" w:rsidRPr="00BF7687" w:rsidRDefault="00BF7687" w:rsidP="00BF7687">
            <w:pPr>
              <w:spacing w:after="0" w:line="240" w:lineRule="auto"/>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 xml:space="preserve">-B/.   156,131.29 </w:t>
            </w:r>
          </w:p>
        </w:tc>
        <w:tc>
          <w:tcPr>
            <w:tcW w:w="2860" w:type="dxa"/>
            <w:tcBorders>
              <w:top w:val="single" w:sz="4" w:space="0" w:color="EF8B69"/>
              <w:left w:val="nil"/>
              <w:bottom w:val="nil"/>
              <w:right w:val="nil"/>
            </w:tcBorders>
            <w:shd w:val="clear" w:color="FAD9CD" w:fill="FAD9CD"/>
            <w:noWrap/>
            <w:vAlign w:val="bottom"/>
            <w:hideMark/>
          </w:tcPr>
          <w:p w14:paraId="7E83799D" w14:textId="77777777" w:rsidR="00BF7687" w:rsidRPr="00BF7687" w:rsidRDefault="00BF7687" w:rsidP="00BF7687">
            <w:pPr>
              <w:spacing w:after="0" w:line="240" w:lineRule="auto"/>
              <w:jc w:val="right"/>
              <w:rPr>
                <w:rFonts w:ascii="Rockwell" w:eastAsia="Times New Roman" w:hAnsi="Rockwell" w:cs="Times New Roman"/>
                <w:b/>
                <w:bCs/>
                <w:color w:val="000000"/>
                <w:sz w:val="24"/>
                <w:szCs w:val="24"/>
                <w:lang w:eastAsia="es-PA"/>
              </w:rPr>
            </w:pPr>
            <w:r w:rsidRPr="00BF7687">
              <w:rPr>
                <w:rFonts w:ascii="Rockwell" w:eastAsia="Times New Roman" w:hAnsi="Rockwell" w:cs="Times New Roman"/>
                <w:b/>
                <w:bCs/>
                <w:color w:val="000000"/>
                <w:sz w:val="24"/>
                <w:szCs w:val="24"/>
                <w:lang w:eastAsia="es-PA"/>
              </w:rPr>
              <w:t>0.48</w:t>
            </w:r>
          </w:p>
        </w:tc>
      </w:tr>
    </w:tbl>
    <w:p w14:paraId="5EC446CE" w14:textId="458D9283" w:rsidR="00BF7687" w:rsidRDefault="00BF7687" w:rsidP="00BF7687">
      <w:pPr>
        <w:pStyle w:val="Prrafodelista"/>
        <w:spacing w:after="0"/>
      </w:pPr>
    </w:p>
    <w:p w14:paraId="21E8EAE0" w14:textId="77777777" w:rsidR="00BF7687" w:rsidRDefault="00BF7687" w:rsidP="00BF7687">
      <w:pPr>
        <w:pStyle w:val="Prrafodelista"/>
        <w:numPr>
          <w:ilvl w:val="0"/>
          <w:numId w:val="4"/>
        </w:numPr>
        <w:spacing w:after="0"/>
      </w:pPr>
      <w:r>
        <w:t xml:space="preserve">Office </w:t>
      </w:r>
      <w:proofErr w:type="spellStart"/>
      <w:r>
        <w:t>Supplies</w:t>
      </w:r>
      <w:proofErr w:type="spellEnd"/>
      <w:r>
        <w:t>:</w:t>
      </w:r>
    </w:p>
    <w:p w14:paraId="7F874A5E" w14:textId="77777777" w:rsidR="00BF7687" w:rsidRDefault="00BF7687" w:rsidP="00BF7687">
      <w:pPr>
        <w:pStyle w:val="Prrafodelista"/>
        <w:numPr>
          <w:ilvl w:val="0"/>
          <w:numId w:val="5"/>
        </w:numPr>
        <w:spacing w:after="0"/>
      </w:pPr>
      <w:r>
        <w:t>Tiene la mayor cantidad de órdenes con pérdida.</w:t>
      </w:r>
    </w:p>
    <w:p w14:paraId="043D04CB" w14:textId="77777777" w:rsidR="00BF7687" w:rsidRDefault="00BF7687" w:rsidP="00BF7687">
      <w:pPr>
        <w:pStyle w:val="Prrafodelista"/>
        <w:numPr>
          <w:ilvl w:val="0"/>
          <w:numId w:val="5"/>
        </w:numPr>
        <w:spacing w:after="0"/>
      </w:pPr>
      <w:r>
        <w:t>También tiene el descuento promedio más alto (62%), lo cual es excesivo y probablemente insostenible.</w:t>
      </w:r>
    </w:p>
    <w:p w14:paraId="33ED90FA" w14:textId="77777777" w:rsidR="00BF7687" w:rsidRDefault="00BF7687" w:rsidP="00BF7687">
      <w:pPr>
        <w:pStyle w:val="Prrafodelista"/>
        <w:numPr>
          <w:ilvl w:val="0"/>
          <w:numId w:val="5"/>
        </w:numPr>
        <w:spacing w:after="0"/>
      </w:pPr>
      <w:r>
        <w:t>¡Aquí hay una clara oportunidad de revisión de estrategia de descuentos!</w:t>
      </w:r>
    </w:p>
    <w:p w14:paraId="3E655721" w14:textId="77777777" w:rsidR="00BF7687" w:rsidRDefault="00BF7687" w:rsidP="00BF7687">
      <w:pPr>
        <w:pStyle w:val="Prrafodelista"/>
        <w:numPr>
          <w:ilvl w:val="0"/>
          <w:numId w:val="4"/>
        </w:numPr>
        <w:spacing w:after="0"/>
      </w:pPr>
      <w:proofErr w:type="spellStart"/>
      <w:r>
        <w:t>Furniture</w:t>
      </w:r>
      <w:proofErr w:type="spellEnd"/>
      <w:r>
        <w:t>:</w:t>
      </w:r>
    </w:p>
    <w:p w14:paraId="50CC7224" w14:textId="77777777" w:rsidR="00BF7687" w:rsidRDefault="00BF7687" w:rsidP="00BF7687">
      <w:pPr>
        <w:pStyle w:val="Prrafodelista"/>
        <w:numPr>
          <w:ilvl w:val="0"/>
          <w:numId w:val="6"/>
        </w:numPr>
        <w:spacing w:after="0"/>
      </w:pPr>
      <w:r>
        <w:t xml:space="preserve">Tiene una pérdida total más alta que Office </w:t>
      </w:r>
      <w:proofErr w:type="spellStart"/>
      <w:r>
        <w:t>Supplies</w:t>
      </w:r>
      <w:proofErr w:type="spellEnd"/>
      <w:r>
        <w:t>, aunque menos órdenes.</w:t>
      </w:r>
    </w:p>
    <w:p w14:paraId="4E43B129" w14:textId="77777777" w:rsidR="00BF7687" w:rsidRDefault="00BF7687" w:rsidP="00BF7687">
      <w:pPr>
        <w:pStyle w:val="Prrafodelista"/>
        <w:numPr>
          <w:ilvl w:val="0"/>
          <w:numId w:val="6"/>
        </w:numPr>
        <w:spacing w:after="0"/>
      </w:pPr>
      <w:r>
        <w:t>El descuento promedio también es alto (37%), pero más controlado.</w:t>
      </w:r>
    </w:p>
    <w:p w14:paraId="15F042D2" w14:textId="77777777" w:rsidR="00BF7687" w:rsidRDefault="00BF7687" w:rsidP="00BF7687">
      <w:pPr>
        <w:pStyle w:val="Prrafodelista"/>
        <w:numPr>
          <w:ilvl w:val="0"/>
          <w:numId w:val="6"/>
        </w:numPr>
        <w:spacing w:after="0"/>
      </w:pPr>
      <w:r>
        <w:t>Puede deberse a productos más costosos → analizar subcategorías específicas sería útil.</w:t>
      </w:r>
    </w:p>
    <w:p w14:paraId="16A768AC" w14:textId="77777777" w:rsidR="00BF7687" w:rsidRDefault="00BF7687" w:rsidP="00BF7687">
      <w:pPr>
        <w:pStyle w:val="Prrafodelista"/>
        <w:numPr>
          <w:ilvl w:val="0"/>
          <w:numId w:val="4"/>
        </w:numPr>
        <w:spacing w:after="0"/>
      </w:pPr>
      <w:proofErr w:type="spellStart"/>
      <w:r>
        <w:t>Technology</w:t>
      </w:r>
      <w:proofErr w:type="spellEnd"/>
      <w:r>
        <w:t>:</w:t>
      </w:r>
    </w:p>
    <w:p w14:paraId="2F675F09" w14:textId="77777777" w:rsidR="00BF7687" w:rsidRDefault="00BF7687" w:rsidP="00BF7687">
      <w:pPr>
        <w:pStyle w:val="Prrafodelista"/>
        <w:numPr>
          <w:ilvl w:val="0"/>
          <w:numId w:val="6"/>
        </w:numPr>
        <w:spacing w:after="0"/>
      </w:pPr>
      <w:r>
        <w:t>Menor cantidad de pérdidas y menor descuento promedio.</w:t>
      </w:r>
    </w:p>
    <w:p w14:paraId="2BB599DD" w14:textId="77777777" w:rsidR="00BF7687" w:rsidRDefault="00BF7687" w:rsidP="00BF7687">
      <w:pPr>
        <w:pStyle w:val="Prrafodelista"/>
        <w:numPr>
          <w:ilvl w:val="0"/>
          <w:numId w:val="6"/>
        </w:numPr>
        <w:spacing w:after="0"/>
      </w:pPr>
      <w:r>
        <w:t>Posiblemente es una categoría más estable o con mejor margen.</w:t>
      </w:r>
    </w:p>
    <w:p w14:paraId="7580DF1A" w14:textId="77777777" w:rsidR="00BF7687" w:rsidRDefault="00BF7687" w:rsidP="00BF7687">
      <w:pPr>
        <w:spacing w:after="0"/>
      </w:pPr>
    </w:p>
    <w:p w14:paraId="49568C26" w14:textId="77777777" w:rsidR="00BF7687" w:rsidRPr="00BF7687" w:rsidRDefault="00BF7687" w:rsidP="00BF7687">
      <w:pPr>
        <w:spacing w:after="0"/>
        <w:rPr>
          <w:b/>
          <w:bCs/>
        </w:rPr>
      </w:pPr>
      <w:proofErr w:type="spellStart"/>
      <w:r w:rsidRPr="00BF7687">
        <w:rPr>
          <w:b/>
          <w:bCs/>
        </w:rPr>
        <w:t>Insight</w:t>
      </w:r>
      <w:proofErr w:type="spellEnd"/>
      <w:r w:rsidRPr="00BF7687">
        <w:rPr>
          <w:b/>
          <w:bCs/>
        </w:rPr>
        <w:t xml:space="preserve"> estratégico:</w:t>
      </w:r>
    </w:p>
    <w:p w14:paraId="184B5F68" w14:textId="77777777" w:rsidR="00BF7687" w:rsidRPr="00BF7687" w:rsidRDefault="00BF7687" w:rsidP="00BF7687">
      <w:pPr>
        <w:spacing w:after="0"/>
      </w:pPr>
      <w:r w:rsidRPr="00BF7687">
        <w:t xml:space="preserve">“La categoría </w:t>
      </w:r>
      <w:r w:rsidRPr="00BF7687">
        <w:rPr>
          <w:i/>
          <w:iCs/>
        </w:rPr>
        <w:t xml:space="preserve">Office </w:t>
      </w:r>
      <w:proofErr w:type="spellStart"/>
      <w:r w:rsidRPr="00BF7687">
        <w:rPr>
          <w:i/>
          <w:iCs/>
        </w:rPr>
        <w:t>Supplies</w:t>
      </w:r>
      <w:proofErr w:type="spellEnd"/>
      <w:r w:rsidRPr="00BF7687">
        <w:t xml:space="preserve"> presenta el mayor volumen de pérdidas y un descuento promedio significativamente más alto que las otras. Se recomienda revisar las políticas de descuento aplicadas a esta categoría y evaluar si ciertos productos </w:t>
      </w:r>
      <w:proofErr w:type="gramStart"/>
      <w:r w:rsidRPr="00BF7687">
        <w:t>podrían</w:t>
      </w:r>
      <w:proofErr w:type="gramEnd"/>
      <w:r w:rsidRPr="00BF7687">
        <w:t xml:space="preserve"> excluirse de promociones masivas.</w:t>
      </w:r>
    </w:p>
    <w:p w14:paraId="7D2134DC" w14:textId="77777777" w:rsidR="00BF7687" w:rsidRDefault="00BF7687" w:rsidP="00BF7687">
      <w:pPr>
        <w:spacing w:after="0"/>
      </w:pPr>
    </w:p>
    <w:p w14:paraId="7FEA39EA" w14:textId="57BCCAA1" w:rsidR="00BF7687" w:rsidRDefault="00BF7687" w:rsidP="00BF7687">
      <w:pPr>
        <w:pStyle w:val="Prrafodelista"/>
        <w:numPr>
          <w:ilvl w:val="0"/>
          <w:numId w:val="1"/>
        </w:numPr>
        <w:spacing w:after="0" w:line="240" w:lineRule="auto"/>
      </w:pPr>
      <w:r w:rsidRPr="00BF7687">
        <w:t xml:space="preserve">¿Qué productos tienen pérdidas constantes, incluso sin descuento? </w:t>
      </w:r>
    </w:p>
    <w:p w14:paraId="364F05FC" w14:textId="77777777" w:rsidR="005220CC" w:rsidRPr="005220CC" w:rsidRDefault="005220CC" w:rsidP="005220CC">
      <w:pPr>
        <w:spacing w:after="0" w:line="240" w:lineRule="auto"/>
        <w:ind w:firstLine="360"/>
        <w:rPr>
          <w:b/>
          <w:bCs/>
        </w:rPr>
      </w:pPr>
      <w:proofErr w:type="spellStart"/>
      <w:r w:rsidRPr="005220CC">
        <w:rPr>
          <w:b/>
          <w:bCs/>
        </w:rPr>
        <w:t>Insight</w:t>
      </w:r>
      <w:proofErr w:type="spellEnd"/>
      <w:r w:rsidRPr="005220CC">
        <w:rPr>
          <w:b/>
          <w:bCs/>
        </w:rPr>
        <w:t xml:space="preserve"> estratégico</w:t>
      </w:r>
    </w:p>
    <w:p w14:paraId="24005286" w14:textId="10A55596" w:rsidR="005220CC" w:rsidRDefault="005220CC" w:rsidP="005220CC">
      <w:pPr>
        <w:spacing w:after="0" w:line="240" w:lineRule="auto"/>
      </w:pPr>
      <w:r>
        <w:t>“El sistema de precios base parece ser rentable, ya que ninguna orden sin descuento genera pérdidas. Esto refuerza la necesidad de revisar la política de descuentos, ya que es el único factor que desencadena pérdidas.”</w:t>
      </w:r>
    </w:p>
    <w:p w14:paraId="76B0D845" w14:textId="77777777" w:rsidR="005220CC" w:rsidRDefault="005220CC" w:rsidP="005220CC">
      <w:pPr>
        <w:spacing w:after="0" w:line="240" w:lineRule="auto"/>
      </w:pPr>
    </w:p>
    <w:p w14:paraId="2921969F" w14:textId="1C1C0C94" w:rsidR="00B235D5" w:rsidRDefault="005220CC" w:rsidP="005220CC">
      <w:pPr>
        <w:pStyle w:val="Prrafodelista"/>
        <w:numPr>
          <w:ilvl w:val="0"/>
          <w:numId w:val="1"/>
        </w:numPr>
        <w:spacing w:after="0" w:line="240" w:lineRule="auto"/>
      </w:pPr>
      <w:r w:rsidRPr="005220CC">
        <w:t xml:space="preserve">¿Qué </w:t>
      </w:r>
      <w:r>
        <w:t xml:space="preserve">tipo de cliente se le aplica </w:t>
      </w:r>
      <w:proofErr w:type="spellStart"/>
      <w:r>
        <w:t>mas</w:t>
      </w:r>
      <w:proofErr w:type="spellEnd"/>
      <w:r w:rsidRPr="005220CC">
        <w:t xml:space="preserve"> descuento?</w:t>
      </w:r>
    </w:p>
    <w:tbl>
      <w:tblPr>
        <w:tblW w:w="10356" w:type="dxa"/>
        <w:tblCellMar>
          <w:left w:w="70" w:type="dxa"/>
          <w:right w:w="70" w:type="dxa"/>
        </w:tblCellMar>
        <w:tblLook w:val="04A0" w:firstRow="1" w:lastRow="0" w:firstColumn="1" w:lastColumn="0" w:noHBand="0" w:noVBand="1"/>
      </w:tblPr>
      <w:tblGrid>
        <w:gridCol w:w="2573"/>
        <w:gridCol w:w="2659"/>
        <w:gridCol w:w="2119"/>
        <w:gridCol w:w="3005"/>
      </w:tblGrid>
      <w:tr w:rsidR="009370DF" w:rsidRPr="009370DF" w14:paraId="6C5252FA" w14:textId="77777777" w:rsidTr="009370DF">
        <w:trPr>
          <w:trHeight w:val="220"/>
        </w:trPr>
        <w:tc>
          <w:tcPr>
            <w:tcW w:w="2573" w:type="dxa"/>
            <w:tcBorders>
              <w:top w:val="nil"/>
              <w:left w:val="nil"/>
              <w:bottom w:val="single" w:sz="4" w:space="0" w:color="EF8B69"/>
              <w:right w:val="nil"/>
            </w:tcBorders>
            <w:shd w:val="clear" w:color="FAD9CD" w:fill="FAD9CD"/>
            <w:noWrap/>
            <w:vAlign w:val="bottom"/>
            <w:hideMark/>
          </w:tcPr>
          <w:p w14:paraId="61F6F0E5" w14:textId="77777777" w:rsidR="009370DF" w:rsidRPr="009370DF" w:rsidRDefault="009370DF" w:rsidP="009370DF">
            <w:pPr>
              <w:spacing w:after="0" w:line="240" w:lineRule="auto"/>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Etiquetas de fila</w:t>
            </w:r>
          </w:p>
        </w:tc>
        <w:tc>
          <w:tcPr>
            <w:tcW w:w="2659" w:type="dxa"/>
            <w:tcBorders>
              <w:top w:val="nil"/>
              <w:left w:val="nil"/>
              <w:bottom w:val="single" w:sz="4" w:space="0" w:color="EF8B69"/>
              <w:right w:val="nil"/>
            </w:tcBorders>
            <w:shd w:val="clear" w:color="FAD9CD" w:fill="FAD9CD"/>
            <w:noWrap/>
            <w:vAlign w:val="bottom"/>
            <w:hideMark/>
          </w:tcPr>
          <w:p w14:paraId="59846106" w14:textId="77777777" w:rsidR="009370DF" w:rsidRPr="009370DF" w:rsidRDefault="009370DF" w:rsidP="009370DF">
            <w:pPr>
              <w:spacing w:after="0" w:line="240" w:lineRule="auto"/>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 xml:space="preserve">Cuenta de </w:t>
            </w:r>
            <w:proofErr w:type="spellStart"/>
            <w:r w:rsidRPr="009370DF">
              <w:rPr>
                <w:rFonts w:ascii="Rockwell" w:eastAsia="Times New Roman" w:hAnsi="Rockwell" w:cs="Times New Roman"/>
                <w:b/>
                <w:bCs/>
                <w:color w:val="000000"/>
                <w:sz w:val="24"/>
                <w:szCs w:val="24"/>
                <w:lang w:eastAsia="es-PA"/>
              </w:rPr>
              <w:t>Order</w:t>
            </w:r>
            <w:proofErr w:type="spellEnd"/>
            <w:r w:rsidRPr="009370DF">
              <w:rPr>
                <w:rFonts w:ascii="Rockwell" w:eastAsia="Times New Roman" w:hAnsi="Rockwell" w:cs="Times New Roman"/>
                <w:b/>
                <w:bCs/>
                <w:color w:val="000000"/>
                <w:sz w:val="24"/>
                <w:szCs w:val="24"/>
                <w:lang w:eastAsia="es-PA"/>
              </w:rPr>
              <w:t xml:space="preserve"> ID</w:t>
            </w:r>
          </w:p>
        </w:tc>
        <w:tc>
          <w:tcPr>
            <w:tcW w:w="2119" w:type="dxa"/>
            <w:tcBorders>
              <w:top w:val="nil"/>
              <w:left w:val="nil"/>
              <w:bottom w:val="single" w:sz="4" w:space="0" w:color="EF8B69"/>
              <w:right w:val="nil"/>
            </w:tcBorders>
            <w:shd w:val="clear" w:color="FAD9CD" w:fill="FAD9CD"/>
            <w:noWrap/>
            <w:vAlign w:val="bottom"/>
            <w:hideMark/>
          </w:tcPr>
          <w:p w14:paraId="468B093B" w14:textId="77777777" w:rsidR="009370DF" w:rsidRPr="009370DF" w:rsidRDefault="009370DF" w:rsidP="009370DF">
            <w:pPr>
              <w:spacing w:after="0" w:line="240" w:lineRule="auto"/>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 xml:space="preserve">Suma de </w:t>
            </w:r>
            <w:proofErr w:type="spellStart"/>
            <w:r w:rsidRPr="009370DF">
              <w:rPr>
                <w:rFonts w:ascii="Rockwell" w:eastAsia="Times New Roman" w:hAnsi="Rockwell" w:cs="Times New Roman"/>
                <w:b/>
                <w:bCs/>
                <w:color w:val="000000"/>
                <w:sz w:val="24"/>
                <w:szCs w:val="24"/>
                <w:lang w:eastAsia="es-PA"/>
              </w:rPr>
              <w:t>Profit</w:t>
            </w:r>
            <w:proofErr w:type="spellEnd"/>
          </w:p>
        </w:tc>
        <w:tc>
          <w:tcPr>
            <w:tcW w:w="3005" w:type="dxa"/>
            <w:tcBorders>
              <w:top w:val="nil"/>
              <w:left w:val="nil"/>
              <w:bottom w:val="single" w:sz="4" w:space="0" w:color="EF8B69"/>
              <w:right w:val="nil"/>
            </w:tcBorders>
            <w:shd w:val="clear" w:color="FAD9CD" w:fill="FAD9CD"/>
            <w:noWrap/>
            <w:vAlign w:val="bottom"/>
            <w:hideMark/>
          </w:tcPr>
          <w:p w14:paraId="5EEE0568" w14:textId="77777777" w:rsidR="009370DF" w:rsidRPr="009370DF" w:rsidRDefault="009370DF" w:rsidP="009370DF">
            <w:pPr>
              <w:spacing w:after="0" w:line="240" w:lineRule="auto"/>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 xml:space="preserve">Promedio de </w:t>
            </w:r>
            <w:proofErr w:type="spellStart"/>
            <w:r w:rsidRPr="009370DF">
              <w:rPr>
                <w:rFonts w:ascii="Rockwell" w:eastAsia="Times New Roman" w:hAnsi="Rockwell" w:cs="Times New Roman"/>
                <w:b/>
                <w:bCs/>
                <w:color w:val="000000"/>
                <w:sz w:val="24"/>
                <w:szCs w:val="24"/>
                <w:lang w:eastAsia="es-PA"/>
              </w:rPr>
              <w:t>Discount</w:t>
            </w:r>
            <w:proofErr w:type="spellEnd"/>
          </w:p>
        </w:tc>
      </w:tr>
      <w:tr w:rsidR="009370DF" w:rsidRPr="009370DF" w14:paraId="2538A43A" w14:textId="77777777" w:rsidTr="009370DF">
        <w:trPr>
          <w:trHeight w:val="220"/>
        </w:trPr>
        <w:tc>
          <w:tcPr>
            <w:tcW w:w="2573" w:type="dxa"/>
            <w:tcBorders>
              <w:top w:val="nil"/>
              <w:left w:val="nil"/>
              <w:bottom w:val="nil"/>
              <w:right w:val="nil"/>
            </w:tcBorders>
            <w:shd w:val="clear" w:color="auto" w:fill="auto"/>
            <w:noWrap/>
            <w:vAlign w:val="bottom"/>
            <w:hideMark/>
          </w:tcPr>
          <w:p w14:paraId="2D4625C0" w14:textId="77777777" w:rsidR="009370DF" w:rsidRPr="009370DF" w:rsidRDefault="009370DF" w:rsidP="009370DF">
            <w:pPr>
              <w:spacing w:after="0" w:line="240" w:lineRule="auto"/>
              <w:rPr>
                <w:rFonts w:ascii="Rockwell" w:eastAsia="Times New Roman" w:hAnsi="Rockwell" w:cs="Times New Roman"/>
                <w:color w:val="000000"/>
                <w:sz w:val="24"/>
                <w:szCs w:val="24"/>
                <w:lang w:eastAsia="es-PA"/>
              </w:rPr>
            </w:pPr>
            <w:proofErr w:type="spellStart"/>
            <w:r w:rsidRPr="009370DF">
              <w:rPr>
                <w:rFonts w:ascii="Rockwell" w:eastAsia="Times New Roman" w:hAnsi="Rockwell" w:cs="Times New Roman"/>
                <w:color w:val="000000"/>
                <w:sz w:val="24"/>
                <w:szCs w:val="24"/>
                <w:lang w:eastAsia="es-PA"/>
              </w:rPr>
              <w:t>Consumer</w:t>
            </w:r>
            <w:proofErr w:type="spellEnd"/>
          </w:p>
        </w:tc>
        <w:tc>
          <w:tcPr>
            <w:tcW w:w="2659" w:type="dxa"/>
            <w:tcBorders>
              <w:top w:val="nil"/>
              <w:left w:val="nil"/>
              <w:bottom w:val="nil"/>
              <w:right w:val="nil"/>
            </w:tcBorders>
            <w:shd w:val="clear" w:color="auto" w:fill="auto"/>
            <w:noWrap/>
            <w:vAlign w:val="bottom"/>
            <w:hideMark/>
          </w:tcPr>
          <w:p w14:paraId="772303FF" w14:textId="77777777" w:rsidR="009370DF" w:rsidRPr="009370DF" w:rsidRDefault="009370DF" w:rsidP="009370DF">
            <w:pPr>
              <w:spacing w:after="0" w:line="240" w:lineRule="auto"/>
              <w:jc w:val="right"/>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5189</w:t>
            </w:r>
          </w:p>
        </w:tc>
        <w:tc>
          <w:tcPr>
            <w:tcW w:w="2119" w:type="dxa"/>
            <w:tcBorders>
              <w:top w:val="nil"/>
              <w:left w:val="nil"/>
              <w:bottom w:val="nil"/>
              <w:right w:val="nil"/>
            </w:tcBorders>
            <w:shd w:val="clear" w:color="auto" w:fill="auto"/>
            <w:noWrap/>
            <w:vAlign w:val="bottom"/>
            <w:hideMark/>
          </w:tcPr>
          <w:p w14:paraId="155D5842" w14:textId="77777777" w:rsidR="009370DF" w:rsidRPr="009370DF" w:rsidRDefault="009370DF" w:rsidP="009370DF">
            <w:pPr>
              <w:spacing w:after="0" w:line="240" w:lineRule="auto"/>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 xml:space="preserve"> B/.   134,032.94 </w:t>
            </w:r>
          </w:p>
        </w:tc>
        <w:tc>
          <w:tcPr>
            <w:tcW w:w="3005" w:type="dxa"/>
            <w:tcBorders>
              <w:top w:val="nil"/>
              <w:left w:val="nil"/>
              <w:bottom w:val="nil"/>
              <w:right w:val="nil"/>
            </w:tcBorders>
            <w:shd w:val="clear" w:color="auto" w:fill="auto"/>
            <w:noWrap/>
            <w:vAlign w:val="bottom"/>
            <w:hideMark/>
          </w:tcPr>
          <w:p w14:paraId="390F90F4" w14:textId="77777777" w:rsidR="009370DF" w:rsidRPr="009370DF" w:rsidRDefault="009370DF" w:rsidP="009370DF">
            <w:pPr>
              <w:spacing w:after="0" w:line="240" w:lineRule="auto"/>
              <w:jc w:val="right"/>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0.16</w:t>
            </w:r>
          </w:p>
        </w:tc>
      </w:tr>
      <w:tr w:rsidR="009370DF" w:rsidRPr="009370DF" w14:paraId="77C94DA9" w14:textId="77777777" w:rsidTr="009370DF">
        <w:trPr>
          <w:trHeight w:val="220"/>
        </w:trPr>
        <w:tc>
          <w:tcPr>
            <w:tcW w:w="2573" w:type="dxa"/>
            <w:tcBorders>
              <w:top w:val="nil"/>
              <w:left w:val="nil"/>
              <w:bottom w:val="nil"/>
              <w:right w:val="nil"/>
            </w:tcBorders>
            <w:shd w:val="clear" w:color="auto" w:fill="auto"/>
            <w:noWrap/>
            <w:vAlign w:val="bottom"/>
            <w:hideMark/>
          </w:tcPr>
          <w:p w14:paraId="090118C5" w14:textId="77777777" w:rsidR="009370DF" w:rsidRPr="009370DF" w:rsidRDefault="009370DF" w:rsidP="009370DF">
            <w:pPr>
              <w:spacing w:after="0" w:line="240" w:lineRule="auto"/>
              <w:rPr>
                <w:rFonts w:ascii="Rockwell" w:eastAsia="Times New Roman" w:hAnsi="Rockwell" w:cs="Times New Roman"/>
                <w:color w:val="000000"/>
                <w:sz w:val="24"/>
                <w:szCs w:val="24"/>
                <w:lang w:eastAsia="es-PA"/>
              </w:rPr>
            </w:pPr>
            <w:proofErr w:type="spellStart"/>
            <w:r w:rsidRPr="009370DF">
              <w:rPr>
                <w:rFonts w:ascii="Rockwell" w:eastAsia="Times New Roman" w:hAnsi="Rockwell" w:cs="Times New Roman"/>
                <w:color w:val="000000"/>
                <w:sz w:val="24"/>
                <w:szCs w:val="24"/>
                <w:lang w:eastAsia="es-PA"/>
              </w:rPr>
              <w:t>Corporate</w:t>
            </w:r>
            <w:proofErr w:type="spellEnd"/>
          </w:p>
        </w:tc>
        <w:tc>
          <w:tcPr>
            <w:tcW w:w="2659" w:type="dxa"/>
            <w:tcBorders>
              <w:top w:val="nil"/>
              <w:left w:val="nil"/>
              <w:bottom w:val="nil"/>
              <w:right w:val="nil"/>
            </w:tcBorders>
            <w:shd w:val="clear" w:color="auto" w:fill="auto"/>
            <w:noWrap/>
            <w:vAlign w:val="bottom"/>
            <w:hideMark/>
          </w:tcPr>
          <w:p w14:paraId="0A1FECED" w14:textId="77777777" w:rsidR="009370DF" w:rsidRPr="009370DF" w:rsidRDefault="009370DF" w:rsidP="009370DF">
            <w:pPr>
              <w:spacing w:after="0" w:line="240" w:lineRule="auto"/>
              <w:jc w:val="right"/>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3020</w:t>
            </w:r>
          </w:p>
        </w:tc>
        <w:tc>
          <w:tcPr>
            <w:tcW w:w="2119" w:type="dxa"/>
            <w:tcBorders>
              <w:top w:val="nil"/>
              <w:left w:val="nil"/>
              <w:bottom w:val="nil"/>
              <w:right w:val="nil"/>
            </w:tcBorders>
            <w:shd w:val="clear" w:color="auto" w:fill="auto"/>
            <w:noWrap/>
            <w:vAlign w:val="bottom"/>
            <w:hideMark/>
          </w:tcPr>
          <w:p w14:paraId="05D0EBC9" w14:textId="77777777" w:rsidR="009370DF" w:rsidRPr="009370DF" w:rsidRDefault="009370DF" w:rsidP="009370DF">
            <w:pPr>
              <w:spacing w:after="0" w:line="240" w:lineRule="auto"/>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 xml:space="preserve"> B/.     91,979.13 </w:t>
            </w:r>
          </w:p>
        </w:tc>
        <w:tc>
          <w:tcPr>
            <w:tcW w:w="3005" w:type="dxa"/>
            <w:tcBorders>
              <w:top w:val="nil"/>
              <w:left w:val="nil"/>
              <w:bottom w:val="nil"/>
              <w:right w:val="nil"/>
            </w:tcBorders>
            <w:shd w:val="clear" w:color="auto" w:fill="auto"/>
            <w:noWrap/>
            <w:vAlign w:val="bottom"/>
            <w:hideMark/>
          </w:tcPr>
          <w:p w14:paraId="3AF22D86" w14:textId="77777777" w:rsidR="009370DF" w:rsidRPr="009370DF" w:rsidRDefault="009370DF" w:rsidP="009370DF">
            <w:pPr>
              <w:spacing w:after="0" w:line="240" w:lineRule="auto"/>
              <w:jc w:val="right"/>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0.16</w:t>
            </w:r>
          </w:p>
        </w:tc>
      </w:tr>
      <w:tr w:rsidR="009370DF" w:rsidRPr="009370DF" w14:paraId="271811AD" w14:textId="77777777" w:rsidTr="009370DF">
        <w:trPr>
          <w:trHeight w:val="220"/>
        </w:trPr>
        <w:tc>
          <w:tcPr>
            <w:tcW w:w="2573" w:type="dxa"/>
            <w:tcBorders>
              <w:top w:val="nil"/>
              <w:left w:val="nil"/>
              <w:bottom w:val="nil"/>
              <w:right w:val="nil"/>
            </w:tcBorders>
            <w:shd w:val="clear" w:color="auto" w:fill="auto"/>
            <w:noWrap/>
            <w:vAlign w:val="bottom"/>
            <w:hideMark/>
          </w:tcPr>
          <w:p w14:paraId="00B54063" w14:textId="77777777" w:rsidR="009370DF" w:rsidRPr="009370DF" w:rsidRDefault="009370DF" w:rsidP="009370DF">
            <w:pPr>
              <w:spacing w:after="0" w:line="240" w:lineRule="auto"/>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Home Office</w:t>
            </w:r>
          </w:p>
        </w:tc>
        <w:tc>
          <w:tcPr>
            <w:tcW w:w="2659" w:type="dxa"/>
            <w:tcBorders>
              <w:top w:val="nil"/>
              <w:left w:val="nil"/>
              <w:bottom w:val="nil"/>
              <w:right w:val="nil"/>
            </w:tcBorders>
            <w:shd w:val="clear" w:color="auto" w:fill="auto"/>
            <w:noWrap/>
            <w:vAlign w:val="bottom"/>
            <w:hideMark/>
          </w:tcPr>
          <w:p w14:paraId="4473D056" w14:textId="77777777" w:rsidR="009370DF" w:rsidRPr="009370DF" w:rsidRDefault="009370DF" w:rsidP="009370DF">
            <w:pPr>
              <w:spacing w:after="0" w:line="240" w:lineRule="auto"/>
              <w:jc w:val="right"/>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1783</w:t>
            </w:r>
          </w:p>
        </w:tc>
        <w:tc>
          <w:tcPr>
            <w:tcW w:w="2119" w:type="dxa"/>
            <w:tcBorders>
              <w:top w:val="nil"/>
              <w:left w:val="nil"/>
              <w:bottom w:val="nil"/>
              <w:right w:val="nil"/>
            </w:tcBorders>
            <w:shd w:val="clear" w:color="auto" w:fill="auto"/>
            <w:noWrap/>
            <w:vAlign w:val="bottom"/>
            <w:hideMark/>
          </w:tcPr>
          <w:p w14:paraId="2A0C39D4" w14:textId="77777777" w:rsidR="009370DF" w:rsidRPr="009370DF" w:rsidRDefault="009370DF" w:rsidP="009370DF">
            <w:pPr>
              <w:spacing w:after="0" w:line="240" w:lineRule="auto"/>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 xml:space="preserve"> B/.     60,298.68 </w:t>
            </w:r>
          </w:p>
        </w:tc>
        <w:tc>
          <w:tcPr>
            <w:tcW w:w="3005" w:type="dxa"/>
            <w:tcBorders>
              <w:top w:val="nil"/>
              <w:left w:val="nil"/>
              <w:bottom w:val="nil"/>
              <w:right w:val="nil"/>
            </w:tcBorders>
            <w:shd w:val="clear" w:color="auto" w:fill="auto"/>
            <w:noWrap/>
            <w:vAlign w:val="bottom"/>
            <w:hideMark/>
          </w:tcPr>
          <w:p w14:paraId="32133D01" w14:textId="77777777" w:rsidR="009370DF" w:rsidRPr="009370DF" w:rsidRDefault="009370DF" w:rsidP="009370DF">
            <w:pPr>
              <w:spacing w:after="0" w:line="240" w:lineRule="auto"/>
              <w:jc w:val="right"/>
              <w:rPr>
                <w:rFonts w:ascii="Rockwell" w:eastAsia="Times New Roman" w:hAnsi="Rockwell" w:cs="Times New Roman"/>
                <w:color w:val="000000"/>
                <w:sz w:val="24"/>
                <w:szCs w:val="24"/>
                <w:lang w:eastAsia="es-PA"/>
              </w:rPr>
            </w:pPr>
            <w:r w:rsidRPr="009370DF">
              <w:rPr>
                <w:rFonts w:ascii="Rockwell" w:eastAsia="Times New Roman" w:hAnsi="Rockwell" w:cs="Times New Roman"/>
                <w:color w:val="000000"/>
                <w:sz w:val="24"/>
                <w:szCs w:val="24"/>
                <w:lang w:eastAsia="es-PA"/>
              </w:rPr>
              <w:t>0.15</w:t>
            </w:r>
          </w:p>
        </w:tc>
      </w:tr>
      <w:tr w:rsidR="009370DF" w:rsidRPr="009370DF" w14:paraId="34E63986" w14:textId="77777777" w:rsidTr="009370DF">
        <w:trPr>
          <w:trHeight w:val="220"/>
        </w:trPr>
        <w:tc>
          <w:tcPr>
            <w:tcW w:w="2573" w:type="dxa"/>
            <w:tcBorders>
              <w:top w:val="single" w:sz="4" w:space="0" w:color="EF8B69"/>
              <w:left w:val="nil"/>
              <w:bottom w:val="nil"/>
              <w:right w:val="nil"/>
            </w:tcBorders>
            <w:shd w:val="clear" w:color="FAD9CD" w:fill="FAD9CD"/>
            <w:noWrap/>
            <w:vAlign w:val="bottom"/>
            <w:hideMark/>
          </w:tcPr>
          <w:p w14:paraId="616AEA2B" w14:textId="77777777" w:rsidR="009370DF" w:rsidRPr="009370DF" w:rsidRDefault="009370DF" w:rsidP="009370DF">
            <w:pPr>
              <w:spacing w:after="0" w:line="240" w:lineRule="auto"/>
              <w:rPr>
                <w:rFonts w:ascii="Rockwell" w:eastAsia="Times New Roman" w:hAnsi="Rockwell" w:cs="Times New Roman"/>
                <w:b/>
                <w:bCs/>
                <w:color w:val="000000"/>
                <w:sz w:val="24"/>
                <w:szCs w:val="24"/>
                <w:lang w:eastAsia="es-PA"/>
              </w:rPr>
            </w:pPr>
            <w:proofErr w:type="gramStart"/>
            <w:r w:rsidRPr="009370DF">
              <w:rPr>
                <w:rFonts w:ascii="Rockwell" w:eastAsia="Times New Roman" w:hAnsi="Rockwell" w:cs="Times New Roman"/>
                <w:b/>
                <w:bCs/>
                <w:color w:val="000000"/>
                <w:sz w:val="24"/>
                <w:szCs w:val="24"/>
                <w:lang w:eastAsia="es-PA"/>
              </w:rPr>
              <w:t>Total</w:t>
            </w:r>
            <w:proofErr w:type="gramEnd"/>
            <w:r w:rsidRPr="009370DF">
              <w:rPr>
                <w:rFonts w:ascii="Rockwell" w:eastAsia="Times New Roman" w:hAnsi="Rockwell" w:cs="Times New Roman"/>
                <w:b/>
                <w:bCs/>
                <w:color w:val="000000"/>
                <w:sz w:val="24"/>
                <w:szCs w:val="24"/>
                <w:lang w:eastAsia="es-PA"/>
              </w:rPr>
              <w:t xml:space="preserve"> general</w:t>
            </w:r>
          </w:p>
        </w:tc>
        <w:tc>
          <w:tcPr>
            <w:tcW w:w="2659" w:type="dxa"/>
            <w:tcBorders>
              <w:top w:val="single" w:sz="4" w:space="0" w:color="EF8B69"/>
              <w:left w:val="nil"/>
              <w:bottom w:val="nil"/>
              <w:right w:val="nil"/>
            </w:tcBorders>
            <w:shd w:val="clear" w:color="FAD9CD" w:fill="FAD9CD"/>
            <w:noWrap/>
            <w:vAlign w:val="bottom"/>
            <w:hideMark/>
          </w:tcPr>
          <w:p w14:paraId="5DA66908" w14:textId="77777777" w:rsidR="009370DF" w:rsidRPr="009370DF" w:rsidRDefault="009370DF" w:rsidP="009370DF">
            <w:pPr>
              <w:spacing w:after="0" w:line="240" w:lineRule="auto"/>
              <w:jc w:val="right"/>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9992</w:t>
            </w:r>
          </w:p>
        </w:tc>
        <w:tc>
          <w:tcPr>
            <w:tcW w:w="2119" w:type="dxa"/>
            <w:tcBorders>
              <w:top w:val="single" w:sz="4" w:space="0" w:color="EF8B69"/>
              <w:left w:val="nil"/>
              <w:bottom w:val="nil"/>
              <w:right w:val="nil"/>
            </w:tcBorders>
            <w:shd w:val="clear" w:color="FAD9CD" w:fill="FAD9CD"/>
            <w:noWrap/>
            <w:vAlign w:val="bottom"/>
            <w:hideMark/>
          </w:tcPr>
          <w:p w14:paraId="541849F2" w14:textId="77777777" w:rsidR="009370DF" w:rsidRPr="009370DF" w:rsidRDefault="009370DF" w:rsidP="009370DF">
            <w:pPr>
              <w:spacing w:after="0" w:line="240" w:lineRule="auto"/>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 xml:space="preserve"> B/.   286,310.75 </w:t>
            </w:r>
          </w:p>
        </w:tc>
        <w:tc>
          <w:tcPr>
            <w:tcW w:w="3005" w:type="dxa"/>
            <w:tcBorders>
              <w:top w:val="single" w:sz="4" w:space="0" w:color="EF8B69"/>
              <w:left w:val="nil"/>
              <w:bottom w:val="nil"/>
              <w:right w:val="nil"/>
            </w:tcBorders>
            <w:shd w:val="clear" w:color="FAD9CD" w:fill="FAD9CD"/>
            <w:noWrap/>
            <w:vAlign w:val="bottom"/>
            <w:hideMark/>
          </w:tcPr>
          <w:p w14:paraId="42D9B449" w14:textId="77777777" w:rsidR="009370DF" w:rsidRPr="009370DF" w:rsidRDefault="009370DF" w:rsidP="009370DF">
            <w:pPr>
              <w:spacing w:after="0" w:line="240" w:lineRule="auto"/>
              <w:jc w:val="right"/>
              <w:rPr>
                <w:rFonts w:ascii="Rockwell" w:eastAsia="Times New Roman" w:hAnsi="Rockwell" w:cs="Times New Roman"/>
                <w:b/>
                <w:bCs/>
                <w:color w:val="000000"/>
                <w:sz w:val="24"/>
                <w:szCs w:val="24"/>
                <w:lang w:eastAsia="es-PA"/>
              </w:rPr>
            </w:pPr>
            <w:r w:rsidRPr="009370DF">
              <w:rPr>
                <w:rFonts w:ascii="Rockwell" w:eastAsia="Times New Roman" w:hAnsi="Rockwell" w:cs="Times New Roman"/>
                <w:b/>
                <w:bCs/>
                <w:color w:val="000000"/>
                <w:sz w:val="24"/>
                <w:szCs w:val="24"/>
                <w:lang w:eastAsia="es-PA"/>
              </w:rPr>
              <w:t>0.16</w:t>
            </w:r>
          </w:p>
        </w:tc>
      </w:tr>
    </w:tbl>
    <w:p w14:paraId="5467B717" w14:textId="77777777" w:rsidR="009370DF" w:rsidRPr="009370DF" w:rsidRDefault="009370DF" w:rsidP="009370DF">
      <w:pPr>
        <w:pStyle w:val="Prrafodelista"/>
        <w:spacing w:after="0"/>
        <w:rPr>
          <w:b/>
          <w:bCs/>
        </w:rPr>
      </w:pPr>
      <w:proofErr w:type="spellStart"/>
      <w:r w:rsidRPr="009370DF">
        <w:rPr>
          <w:b/>
          <w:bCs/>
        </w:rPr>
        <w:t>Insight</w:t>
      </w:r>
      <w:proofErr w:type="spellEnd"/>
      <w:r w:rsidRPr="009370DF">
        <w:rPr>
          <w:b/>
          <w:bCs/>
        </w:rPr>
        <w:t xml:space="preserve"> estratégico</w:t>
      </w:r>
    </w:p>
    <w:p w14:paraId="6067F56A" w14:textId="53909459" w:rsidR="005220CC" w:rsidRPr="009370DF" w:rsidRDefault="009370DF" w:rsidP="009370DF">
      <w:pPr>
        <w:pStyle w:val="Prrafodelista"/>
        <w:spacing w:after="0"/>
      </w:pPr>
      <w:r w:rsidRPr="009370DF">
        <w:t xml:space="preserve">“A pesar de aplicar descuentos, el segmento </w:t>
      </w:r>
      <w:proofErr w:type="spellStart"/>
      <w:r w:rsidRPr="009370DF">
        <w:rPr>
          <w:i/>
          <w:iCs/>
        </w:rPr>
        <w:t>Consumer</w:t>
      </w:r>
      <w:proofErr w:type="spellEnd"/>
      <w:r w:rsidRPr="009370DF">
        <w:t xml:space="preserve"> genera la mayor ganancia total. Dado que todos los segmentos responden bien al descuento, podría explorarse si un </w:t>
      </w:r>
      <w:r w:rsidRPr="009370DF">
        <w:rPr>
          <w:b/>
          <w:bCs/>
        </w:rPr>
        <w:t>ajuste personalizado por segmento</w:t>
      </w:r>
      <w:r w:rsidRPr="009370DF">
        <w:t xml:space="preserve"> (</w:t>
      </w:r>
      <w:proofErr w:type="spellStart"/>
      <w:r w:rsidRPr="009370DF">
        <w:t>ej</w:t>
      </w:r>
      <w:proofErr w:type="spellEnd"/>
      <w:r w:rsidRPr="009370DF">
        <w:t xml:space="preserve">: descuentos más altos para </w:t>
      </w:r>
      <w:proofErr w:type="spellStart"/>
      <w:r w:rsidRPr="009370DF">
        <w:t>Corporate</w:t>
      </w:r>
      <w:proofErr w:type="spellEnd"/>
      <w:r w:rsidRPr="009370DF">
        <w:t xml:space="preserve"> si el volumen lo justifica) mejora aún más la rentabilidad.”</w:t>
      </w:r>
    </w:p>
    <w:sectPr w:rsidR="005220CC" w:rsidRPr="00937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063A1"/>
    <w:multiLevelType w:val="hybridMultilevel"/>
    <w:tmpl w:val="DD6C2E84"/>
    <w:lvl w:ilvl="0" w:tplc="180A000B">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 w15:restartNumberingAfterBreak="0">
    <w:nsid w:val="1BA845B4"/>
    <w:multiLevelType w:val="hybridMultilevel"/>
    <w:tmpl w:val="8278AD88"/>
    <w:lvl w:ilvl="0" w:tplc="180A000D">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15:restartNumberingAfterBreak="0">
    <w:nsid w:val="1E3D44E1"/>
    <w:multiLevelType w:val="hybridMultilevel"/>
    <w:tmpl w:val="1474247E"/>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2C0C04C5"/>
    <w:multiLevelType w:val="hybridMultilevel"/>
    <w:tmpl w:val="520C14F0"/>
    <w:lvl w:ilvl="0" w:tplc="180A000D">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4" w15:restartNumberingAfterBreak="0">
    <w:nsid w:val="629415E7"/>
    <w:multiLevelType w:val="hybridMultilevel"/>
    <w:tmpl w:val="BFFCA3B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2B75436"/>
    <w:multiLevelType w:val="hybridMultilevel"/>
    <w:tmpl w:val="D562C9CE"/>
    <w:lvl w:ilvl="0" w:tplc="180A000D">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16cid:durableId="1784614094">
    <w:abstractNumId w:val="4"/>
  </w:num>
  <w:num w:numId="2" w16cid:durableId="980502269">
    <w:abstractNumId w:val="0"/>
  </w:num>
  <w:num w:numId="3" w16cid:durableId="396704459">
    <w:abstractNumId w:val="3"/>
  </w:num>
  <w:num w:numId="4" w16cid:durableId="1428695930">
    <w:abstractNumId w:val="2"/>
  </w:num>
  <w:num w:numId="5" w16cid:durableId="1938976959">
    <w:abstractNumId w:val="1"/>
  </w:num>
  <w:num w:numId="6" w16cid:durableId="1402603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87"/>
    <w:rsid w:val="0008014D"/>
    <w:rsid w:val="000A3CA5"/>
    <w:rsid w:val="002A3158"/>
    <w:rsid w:val="003D7E8A"/>
    <w:rsid w:val="005220CC"/>
    <w:rsid w:val="00604D08"/>
    <w:rsid w:val="009370DF"/>
    <w:rsid w:val="00A90481"/>
    <w:rsid w:val="00B235D5"/>
    <w:rsid w:val="00BF768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4A11"/>
  <w15:chartTrackingRefBased/>
  <w15:docId w15:val="{0BC353AD-4262-4424-A705-4CD06B4B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7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76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76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76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76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76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76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76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6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76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76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76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76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76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76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76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7687"/>
    <w:rPr>
      <w:rFonts w:eastAsiaTheme="majorEastAsia" w:cstheme="majorBidi"/>
      <w:color w:val="272727" w:themeColor="text1" w:themeTint="D8"/>
    </w:rPr>
  </w:style>
  <w:style w:type="paragraph" w:styleId="Ttulo">
    <w:name w:val="Title"/>
    <w:basedOn w:val="Normal"/>
    <w:next w:val="Normal"/>
    <w:link w:val="TtuloCar"/>
    <w:uiPriority w:val="10"/>
    <w:qFormat/>
    <w:rsid w:val="00BF7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6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76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76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7687"/>
    <w:pPr>
      <w:spacing w:before="160"/>
      <w:jc w:val="center"/>
    </w:pPr>
    <w:rPr>
      <w:i/>
      <w:iCs/>
      <w:color w:val="404040" w:themeColor="text1" w:themeTint="BF"/>
    </w:rPr>
  </w:style>
  <w:style w:type="character" w:customStyle="1" w:styleId="CitaCar">
    <w:name w:val="Cita Car"/>
    <w:basedOn w:val="Fuentedeprrafopredeter"/>
    <w:link w:val="Cita"/>
    <w:uiPriority w:val="29"/>
    <w:rsid w:val="00BF7687"/>
    <w:rPr>
      <w:i/>
      <w:iCs/>
      <w:color w:val="404040" w:themeColor="text1" w:themeTint="BF"/>
    </w:rPr>
  </w:style>
  <w:style w:type="paragraph" w:styleId="Prrafodelista">
    <w:name w:val="List Paragraph"/>
    <w:basedOn w:val="Normal"/>
    <w:uiPriority w:val="34"/>
    <w:qFormat/>
    <w:rsid w:val="00BF7687"/>
    <w:pPr>
      <w:ind w:left="720"/>
      <w:contextualSpacing/>
    </w:pPr>
  </w:style>
  <w:style w:type="character" w:styleId="nfasisintenso">
    <w:name w:val="Intense Emphasis"/>
    <w:basedOn w:val="Fuentedeprrafopredeter"/>
    <w:uiPriority w:val="21"/>
    <w:qFormat/>
    <w:rsid w:val="00BF7687"/>
    <w:rPr>
      <w:i/>
      <w:iCs/>
      <w:color w:val="0F4761" w:themeColor="accent1" w:themeShade="BF"/>
    </w:rPr>
  </w:style>
  <w:style w:type="paragraph" w:styleId="Citadestacada">
    <w:name w:val="Intense Quote"/>
    <w:basedOn w:val="Normal"/>
    <w:next w:val="Normal"/>
    <w:link w:val="CitadestacadaCar"/>
    <w:uiPriority w:val="30"/>
    <w:qFormat/>
    <w:rsid w:val="00BF7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7687"/>
    <w:rPr>
      <w:i/>
      <w:iCs/>
      <w:color w:val="0F4761" w:themeColor="accent1" w:themeShade="BF"/>
    </w:rPr>
  </w:style>
  <w:style w:type="character" w:styleId="Referenciaintensa">
    <w:name w:val="Intense Reference"/>
    <w:basedOn w:val="Fuentedeprrafopredeter"/>
    <w:uiPriority w:val="32"/>
    <w:qFormat/>
    <w:rsid w:val="00BF7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2346">
      <w:bodyDiv w:val="1"/>
      <w:marLeft w:val="0"/>
      <w:marRight w:val="0"/>
      <w:marTop w:val="0"/>
      <w:marBottom w:val="0"/>
      <w:divBdr>
        <w:top w:val="none" w:sz="0" w:space="0" w:color="auto"/>
        <w:left w:val="none" w:sz="0" w:space="0" w:color="auto"/>
        <w:bottom w:val="none" w:sz="0" w:space="0" w:color="auto"/>
        <w:right w:val="none" w:sz="0" w:space="0" w:color="auto"/>
      </w:divBdr>
      <w:divsChild>
        <w:div w:id="29402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1091">
      <w:bodyDiv w:val="1"/>
      <w:marLeft w:val="0"/>
      <w:marRight w:val="0"/>
      <w:marTop w:val="0"/>
      <w:marBottom w:val="0"/>
      <w:divBdr>
        <w:top w:val="none" w:sz="0" w:space="0" w:color="auto"/>
        <w:left w:val="none" w:sz="0" w:space="0" w:color="auto"/>
        <w:bottom w:val="none" w:sz="0" w:space="0" w:color="auto"/>
        <w:right w:val="none" w:sz="0" w:space="0" w:color="auto"/>
      </w:divBdr>
      <w:divsChild>
        <w:div w:id="1870676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495509">
      <w:bodyDiv w:val="1"/>
      <w:marLeft w:val="0"/>
      <w:marRight w:val="0"/>
      <w:marTop w:val="0"/>
      <w:marBottom w:val="0"/>
      <w:divBdr>
        <w:top w:val="none" w:sz="0" w:space="0" w:color="auto"/>
        <w:left w:val="none" w:sz="0" w:space="0" w:color="auto"/>
        <w:bottom w:val="none" w:sz="0" w:space="0" w:color="auto"/>
        <w:right w:val="none" w:sz="0" w:space="0" w:color="auto"/>
      </w:divBdr>
      <w:divsChild>
        <w:div w:id="143362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75822">
      <w:bodyDiv w:val="1"/>
      <w:marLeft w:val="0"/>
      <w:marRight w:val="0"/>
      <w:marTop w:val="0"/>
      <w:marBottom w:val="0"/>
      <w:divBdr>
        <w:top w:val="none" w:sz="0" w:space="0" w:color="auto"/>
        <w:left w:val="none" w:sz="0" w:space="0" w:color="auto"/>
        <w:bottom w:val="none" w:sz="0" w:space="0" w:color="auto"/>
        <w:right w:val="none" w:sz="0" w:space="0" w:color="auto"/>
      </w:divBdr>
      <w:divsChild>
        <w:div w:id="177512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02564">
      <w:bodyDiv w:val="1"/>
      <w:marLeft w:val="0"/>
      <w:marRight w:val="0"/>
      <w:marTop w:val="0"/>
      <w:marBottom w:val="0"/>
      <w:divBdr>
        <w:top w:val="none" w:sz="0" w:space="0" w:color="auto"/>
        <w:left w:val="none" w:sz="0" w:space="0" w:color="auto"/>
        <w:bottom w:val="none" w:sz="0" w:space="0" w:color="auto"/>
        <w:right w:val="none" w:sz="0" w:space="0" w:color="auto"/>
      </w:divBdr>
      <w:divsChild>
        <w:div w:id="20373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555472">
      <w:bodyDiv w:val="1"/>
      <w:marLeft w:val="0"/>
      <w:marRight w:val="0"/>
      <w:marTop w:val="0"/>
      <w:marBottom w:val="0"/>
      <w:divBdr>
        <w:top w:val="none" w:sz="0" w:space="0" w:color="auto"/>
        <w:left w:val="none" w:sz="0" w:space="0" w:color="auto"/>
        <w:bottom w:val="none" w:sz="0" w:space="0" w:color="auto"/>
        <w:right w:val="none" w:sz="0" w:space="0" w:color="auto"/>
      </w:divBdr>
    </w:div>
    <w:div w:id="830758734">
      <w:bodyDiv w:val="1"/>
      <w:marLeft w:val="0"/>
      <w:marRight w:val="0"/>
      <w:marTop w:val="0"/>
      <w:marBottom w:val="0"/>
      <w:divBdr>
        <w:top w:val="none" w:sz="0" w:space="0" w:color="auto"/>
        <w:left w:val="none" w:sz="0" w:space="0" w:color="auto"/>
        <w:bottom w:val="none" w:sz="0" w:space="0" w:color="auto"/>
        <w:right w:val="none" w:sz="0" w:space="0" w:color="auto"/>
      </w:divBdr>
    </w:div>
    <w:div w:id="839392899">
      <w:bodyDiv w:val="1"/>
      <w:marLeft w:val="0"/>
      <w:marRight w:val="0"/>
      <w:marTop w:val="0"/>
      <w:marBottom w:val="0"/>
      <w:divBdr>
        <w:top w:val="none" w:sz="0" w:space="0" w:color="auto"/>
        <w:left w:val="none" w:sz="0" w:space="0" w:color="auto"/>
        <w:bottom w:val="none" w:sz="0" w:space="0" w:color="auto"/>
        <w:right w:val="none" w:sz="0" w:space="0" w:color="auto"/>
      </w:divBdr>
    </w:div>
    <w:div w:id="924725131">
      <w:bodyDiv w:val="1"/>
      <w:marLeft w:val="0"/>
      <w:marRight w:val="0"/>
      <w:marTop w:val="0"/>
      <w:marBottom w:val="0"/>
      <w:divBdr>
        <w:top w:val="none" w:sz="0" w:space="0" w:color="auto"/>
        <w:left w:val="none" w:sz="0" w:space="0" w:color="auto"/>
        <w:bottom w:val="none" w:sz="0" w:space="0" w:color="auto"/>
        <w:right w:val="none" w:sz="0" w:space="0" w:color="auto"/>
      </w:divBdr>
    </w:div>
    <w:div w:id="946930548">
      <w:bodyDiv w:val="1"/>
      <w:marLeft w:val="0"/>
      <w:marRight w:val="0"/>
      <w:marTop w:val="0"/>
      <w:marBottom w:val="0"/>
      <w:divBdr>
        <w:top w:val="none" w:sz="0" w:space="0" w:color="auto"/>
        <w:left w:val="none" w:sz="0" w:space="0" w:color="auto"/>
        <w:bottom w:val="none" w:sz="0" w:space="0" w:color="auto"/>
        <w:right w:val="none" w:sz="0" w:space="0" w:color="auto"/>
      </w:divBdr>
    </w:div>
    <w:div w:id="1588684172">
      <w:bodyDiv w:val="1"/>
      <w:marLeft w:val="0"/>
      <w:marRight w:val="0"/>
      <w:marTop w:val="0"/>
      <w:marBottom w:val="0"/>
      <w:divBdr>
        <w:top w:val="none" w:sz="0" w:space="0" w:color="auto"/>
        <w:left w:val="none" w:sz="0" w:space="0" w:color="auto"/>
        <w:bottom w:val="none" w:sz="0" w:space="0" w:color="auto"/>
        <w:right w:val="none" w:sz="0" w:space="0" w:color="auto"/>
      </w:divBdr>
    </w:div>
    <w:div w:id="1723407527">
      <w:bodyDiv w:val="1"/>
      <w:marLeft w:val="0"/>
      <w:marRight w:val="0"/>
      <w:marTop w:val="0"/>
      <w:marBottom w:val="0"/>
      <w:divBdr>
        <w:top w:val="none" w:sz="0" w:space="0" w:color="auto"/>
        <w:left w:val="none" w:sz="0" w:space="0" w:color="auto"/>
        <w:bottom w:val="none" w:sz="0" w:space="0" w:color="auto"/>
        <w:right w:val="none" w:sz="0" w:space="0" w:color="auto"/>
      </w:divBdr>
    </w:div>
    <w:div w:id="186038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justavino</dc:creator>
  <cp:keywords/>
  <dc:description/>
  <cp:lastModifiedBy>angel justavino</cp:lastModifiedBy>
  <cp:revision>1</cp:revision>
  <dcterms:created xsi:type="dcterms:W3CDTF">2025-08-05T08:23:00Z</dcterms:created>
  <dcterms:modified xsi:type="dcterms:W3CDTF">2025-08-05T09:08:00Z</dcterms:modified>
</cp:coreProperties>
</file>