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099" w:rsidRDefault="006A0099" w:rsidP="006A0099">
      <w:pPr>
        <w:pStyle w:val="Heading1"/>
        <w:shd w:val="clear" w:color="auto" w:fill="FFFFFF"/>
        <w:spacing w:before="240" w:after="240" w:line="360" w:lineRule="auto"/>
        <w:jc w:val="center"/>
        <w:rPr>
          <w:rFonts w:ascii="Times New Roman" w:hAnsi="Times New Roman" w:cs="Times New Roman"/>
          <w:b/>
          <w:i/>
          <w:color w:val="002060"/>
          <w:sz w:val="48"/>
          <w:szCs w:val="24"/>
        </w:rPr>
      </w:pPr>
      <w:bookmarkStart w:id="0" w:name="citations"/>
      <w:r w:rsidRPr="00A744E0">
        <w:rPr>
          <w:rFonts w:ascii="Times New Roman" w:hAnsi="Times New Roman" w:cs="Times New Roman"/>
          <w:b/>
          <w:i/>
          <w:color w:val="002060"/>
          <w:sz w:val="48"/>
          <w:szCs w:val="24"/>
        </w:rPr>
        <w:t>Развитие на безработицата в България по възрастови групи (2020–</w:t>
      </w:r>
      <w:bookmarkStart w:id="1" w:name="_GoBack"/>
      <w:bookmarkEnd w:id="1"/>
      <w:r w:rsidRPr="00A744E0">
        <w:rPr>
          <w:rFonts w:ascii="Times New Roman" w:hAnsi="Times New Roman" w:cs="Times New Roman"/>
          <w:b/>
          <w:i/>
          <w:color w:val="002060"/>
          <w:sz w:val="48"/>
          <w:szCs w:val="24"/>
        </w:rPr>
        <w:t>2024 г.)</w:t>
      </w:r>
    </w:p>
    <w:p w:rsidR="005E4AA8" w:rsidRPr="005E4AA8" w:rsidRDefault="005E4AA8" w:rsidP="005E4AA8">
      <w:pPr>
        <w:pStyle w:val="BodyText"/>
      </w:pPr>
    </w:p>
    <w:p w:rsidR="005E4AA8" w:rsidRPr="005E4AA8" w:rsidRDefault="005E4AA8" w:rsidP="005E4AA8">
      <w:pPr>
        <w:pStyle w:val="BodyText"/>
        <w:rPr>
          <w:b/>
          <w:i/>
          <w:color w:val="002060"/>
          <w:sz w:val="36"/>
          <w:lang w:val="bg-BG"/>
        </w:rPr>
      </w:pPr>
      <w:r w:rsidRPr="005E4AA8">
        <w:rPr>
          <w:b/>
          <w:i/>
          <w:color w:val="002060"/>
          <w:sz w:val="36"/>
          <w:lang w:val="bg-BG"/>
        </w:rPr>
        <w:t xml:space="preserve">Изготвил: </w:t>
      </w:r>
      <w:r w:rsidRPr="005E4AA8">
        <w:rPr>
          <w:sz w:val="36"/>
          <w:lang w:val="bg-BG"/>
        </w:rPr>
        <w:t>Ангел Кръстев</w:t>
      </w:r>
    </w:p>
    <w:p w:rsidR="006A0099" w:rsidRPr="00A744E0" w:rsidRDefault="006A0099" w:rsidP="006A0099">
      <w:pPr>
        <w:pStyle w:val="BodyText"/>
      </w:pPr>
    </w:p>
    <w:p w:rsidR="006A0099" w:rsidRPr="00A744E0" w:rsidRDefault="006A0099" w:rsidP="006A0099">
      <w:pPr>
        <w:pStyle w:val="BodyText"/>
        <w:rPr>
          <w:b/>
          <w:i/>
          <w:color w:val="002060"/>
          <w:sz w:val="36"/>
          <w:lang w:val="bg-BG"/>
        </w:rPr>
      </w:pPr>
      <w:r w:rsidRPr="00A744E0">
        <w:rPr>
          <w:b/>
          <w:i/>
          <w:color w:val="002060"/>
          <w:sz w:val="36"/>
          <w:lang w:val="bg-BG"/>
        </w:rPr>
        <w:t>Съдържание: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bg-BG"/>
        </w:rPr>
        <w:t>Условие на изследването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bg-BG"/>
        </w:rPr>
        <w:t>Честотно разпределение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bg-BG"/>
        </w:rPr>
        <w:t>Диаграми на честотно разпределение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bg-BG"/>
        </w:rPr>
        <w:t>Средни величини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ru-RU"/>
        </w:rPr>
        <w:t>Акумулирана честота и относителна честота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ru-RU"/>
        </w:rPr>
        <w:t>Дисперсията и стандартното отклонение на извадката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bg-BG"/>
        </w:rPr>
        <w:t>Въпроси</w:t>
      </w:r>
      <w:r w:rsidRPr="00A744E0">
        <w:rPr>
          <w:b/>
          <w:bCs/>
          <w:lang w:val="en-US"/>
        </w:rPr>
        <w:t xml:space="preserve"> </w:t>
      </w:r>
      <w:r w:rsidRPr="00A744E0">
        <w:rPr>
          <w:b/>
          <w:bCs/>
          <w:lang w:val="bg-BG"/>
        </w:rPr>
        <w:t>и отговори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bg-BG"/>
        </w:rPr>
        <w:t>Анализ и интерпретация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bg-BG"/>
        </w:rPr>
        <w:t>Формули</w:t>
      </w:r>
    </w:p>
    <w:p w:rsidR="00B65CE4" w:rsidRPr="00A744E0" w:rsidRDefault="006A0099" w:rsidP="006A0099">
      <w:pPr>
        <w:pStyle w:val="BodyText"/>
        <w:numPr>
          <w:ilvl w:val="0"/>
          <w:numId w:val="18"/>
        </w:numPr>
        <w:rPr>
          <w:lang w:val="bg-BG"/>
        </w:rPr>
      </w:pPr>
      <w:r w:rsidRPr="00A744E0">
        <w:rPr>
          <w:b/>
          <w:bCs/>
          <w:lang w:val="bg-BG"/>
        </w:rPr>
        <w:t xml:space="preserve"> Изчисления</w:t>
      </w:r>
    </w:p>
    <w:p w:rsidR="006A0099" w:rsidRPr="00A744E0" w:rsidRDefault="006A0099" w:rsidP="006A0099">
      <w:pPr>
        <w:pStyle w:val="BodyText"/>
        <w:rPr>
          <w:lang w:val="en-US"/>
        </w:rPr>
      </w:pPr>
    </w:p>
    <w:p w:rsidR="006A0099" w:rsidRPr="00A744E0" w:rsidRDefault="006A0099" w:rsidP="006A0099">
      <w:pPr>
        <w:pStyle w:val="BodyText"/>
      </w:pPr>
    </w:p>
    <w:p w:rsidR="006A0099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Fonts w:ascii="Times New Roman" w:hAnsi="Times New Roman" w:cs="Times New Roman"/>
          <w:b/>
          <w:i/>
          <w:color w:val="002060"/>
          <w:sz w:val="36"/>
          <w:szCs w:val="36"/>
        </w:rPr>
      </w:pPr>
      <w:r w:rsidRPr="00A744E0">
        <w:rPr>
          <w:rFonts w:ascii="Times New Roman" w:hAnsi="Times New Roman" w:cs="Times New Roman"/>
          <w:b/>
          <w:i/>
          <w:color w:val="002060"/>
          <w:sz w:val="36"/>
          <w:szCs w:val="36"/>
        </w:rPr>
        <w:t>1. Условие на изследването</w:t>
      </w:r>
    </w:p>
    <w:p w:rsidR="00D942B1" w:rsidRPr="00A744E0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ind w:firstLine="720"/>
        <w:jc w:val="both"/>
        <w:textAlignment w:val="top"/>
      </w:pPr>
      <w:r w:rsidRPr="00A744E0">
        <w:t>Цел: да се проследи развитието на</w:t>
      </w:r>
      <w:r w:rsidRPr="00A744E0">
        <w:rPr>
          <w:b/>
        </w:rPr>
        <w:t> </w:t>
      </w:r>
      <w:r w:rsidRPr="00A744E0">
        <w:rPr>
          <w:rStyle w:val="Strong"/>
          <w:b w:val="0"/>
        </w:rPr>
        <w:t>безработицата в България по</w:t>
      </w:r>
      <w:r w:rsidRPr="00A744E0">
        <w:rPr>
          <w:rStyle w:val="Strong"/>
        </w:rPr>
        <w:t xml:space="preserve"> </w:t>
      </w:r>
      <w:r w:rsidRPr="00A744E0">
        <w:rPr>
          <w:rStyle w:val="Strong"/>
          <w:b w:val="0"/>
        </w:rPr>
        <w:t>възрастови групи</w:t>
      </w:r>
      <w:r w:rsidRPr="00A744E0">
        <w:t> (15–24, 25–34, 35–44, 45–54, 55–64) през 2020 и 2024 г. Извадката включва всички безработни лица на възраст 15–64 г., а показателят е </w:t>
      </w:r>
      <w:r w:rsidRPr="00A744E0">
        <w:rPr>
          <w:rStyle w:val="Strong"/>
          <w:b w:val="0"/>
        </w:rPr>
        <w:t>брой безработни лица</w:t>
      </w:r>
      <w:r w:rsidRPr="00A744E0">
        <w:t>. Данните са взети от годишните справки на НСИ</w:t>
      </w:r>
      <w:r w:rsidR="006A0099" w:rsidRPr="00A744E0">
        <w:rPr>
          <w:lang w:val="en-US"/>
        </w:rPr>
        <w:t xml:space="preserve"> </w:t>
      </w:r>
      <w:hyperlink r:id="rId6" w:anchor=":~:text=%D0%9F%D0%BE%20%D0%B2%D1%8A%D0%B7%D1%80%D0%B0%D1%81%D1%82%D0%BE%D0%B2%D0%B8%20%D0%B3%D1%80%D1%83%D0%BF%D0%B8%2015%20,6" w:tgtFrame="_blank" w:history="1">
        <w:r w:rsidRPr="00A744E0">
          <w:rPr>
            <w:rStyle w:val="max-w-15ch"/>
          </w:rPr>
          <w:t>nsi.bg</w:t>
        </w:r>
      </w:hyperlink>
      <w:r w:rsidRPr="00A744E0">
        <w:t>. Анализът показва как се променя честотното разпределение на безработните по възрастови групи и какви са тенденциите в отделните категории.</w:t>
      </w:r>
    </w:p>
    <w:p w:rsidR="00D942B1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Fonts w:ascii="Times New Roman" w:hAnsi="Times New Roman" w:cs="Times New Roman"/>
          <w:b/>
          <w:i/>
          <w:color w:val="002060"/>
          <w:sz w:val="36"/>
          <w:szCs w:val="36"/>
        </w:rPr>
      </w:pPr>
      <w:r w:rsidRPr="00A744E0">
        <w:rPr>
          <w:rFonts w:ascii="Times New Roman" w:hAnsi="Times New Roman" w:cs="Times New Roman"/>
          <w:b/>
          <w:i/>
          <w:color w:val="002060"/>
          <w:sz w:val="36"/>
          <w:szCs w:val="36"/>
        </w:rPr>
        <w:lastRenderedPageBreak/>
        <w:t>2. Честотно разпределение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35"/>
        <w:gridCol w:w="3062"/>
        <w:gridCol w:w="3062"/>
      </w:tblGrid>
      <w:tr w:rsidR="006A0099" w:rsidRPr="00A744E0" w:rsidTr="006A0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Style w:val="Strong"/>
                <w:rFonts w:ascii="Times New Roman" w:hAnsi="Times New Roman" w:cs="Times New Roman"/>
              </w:rPr>
              <w:t>Възрастова група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Style w:val="Strong"/>
                <w:rFonts w:ascii="Times New Roman" w:hAnsi="Times New Roman" w:cs="Times New Roman"/>
              </w:rPr>
              <w:t>Безработни 2020 (хил.)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Style w:val="Strong"/>
                <w:rFonts w:ascii="Times New Roman" w:hAnsi="Times New Roman" w:cs="Times New Roman"/>
              </w:rPr>
              <w:t>Безработни 2024 (хил.)</w:t>
            </w:r>
          </w:p>
        </w:tc>
      </w:tr>
      <w:tr w:rsidR="006A0099" w:rsidRPr="00A744E0" w:rsidTr="006A0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15–24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19.1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15.0</w:t>
            </w:r>
          </w:p>
        </w:tc>
      </w:tr>
      <w:tr w:rsidR="006A0099" w:rsidRPr="00A744E0" w:rsidTr="006A0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25–34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41.2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27.8</w:t>
            </w:r>
          </w:p>
        </w:tc>
      </w:tr>
      <w:tr w:rsidR="006A0099" w:rsidRPr="00A744E0" w:rsidTr="006A0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35–44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42.4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31.5</w:t>
            </w:r>
          </w:p>
        </w:tc>
      </w:tr>
      <w:tr w:rsidR="006A0099" w:rsidRPr="00A744E0" w:rsidTr="006A0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45–54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36.4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29.0</w:t>
            </w:r>
          </w:p>
        </w:tc>
      </w:tr>
      <w:tr w:rsidR="006A0099" w:rsidRPr="00A744E0" w:rsidTr="006A00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55–64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29.6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24.1</w:t>
            </w:r>
          </w:p>
        </w:tc>
      </w:tr>
      <w:tr w:rsidR="006A0099" w:rsidRPr="00A744E0" w:rsidTr="006A0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Style w:val="Strong"/>
                <w:rFonts w:ascii="Times New Roman" w:hAnsi="Times New Roman" w:cs="Times New Roman"/>
              </w:rPr>
              <w:t>Общо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Style w:val="Strong"/>
                <w:rFonts w:ascii="Times New Roman" w:hAnsi="Times New Roman" w:cs="Times New Roman"/>
                <w:b w:val="0"/>
              </w:rPr>
              <w:t>168.7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Style w:val="Strong"/>
                <w:rFonts w:ascii="Times New Roman" w:hAnsi="Times New Roman" w:cs="Times New Roman"/>
                <w:b w:val="0"/>
              </w:rPr>
              <w:t>127.4</w:t>
            </w:r>
          </w:p>
        </w:tc>
      </w:tr>
    </w:tbl>
    <w:p w:rsidR="00D942B1" w:rsidRPr="00A744E0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  <w:r w:rsidRPr="00A744E0">
        <w:rPr>
          <w:rStyle w:val="Strong"/>
          <w:b w:val="0"/>
          <w:iCs/>
        </w:rPr>
        <w:t>Табл. 1.</w:t>
      </w:r>
      <w:r w:rsidRPr="00A744E0">
        <w:rPr>
          <w:rStyle w:val="Strong"/>
          <w:b w:val="0"/>
        </w:rPr>
        <w:t> Честотно разпределение на безработните лица по възрастови групи (2020 и 2024 г.). </w:t>
      </w:r>
      <w:r w:rsidRPr="00A744E0">
        <w:rPr>
          <w:rStyle w:val="Strong"/>
          <w:b w:val="0"/>
          <w:iCs/>
        </w:rPr>
        <w:t>Източник: данни на НСИ</w:t>
      </w:r>
      <w:hyperlink r:id="rId7" w:anchor=":~:text=%D0%9F%D0%BE%20%D0%B2%D1%8A%D0%B7%D1%80%D0%B0%D1%81%D1%82%D0%BE%D0%B2%D0%B8%20%D0%B3%D1%80%D1%83%D0%BF%D0%B8%2015%20,6" w:tgtFrame="_blank" w:history="1">
        <w:r w:rsidRPr="00A744E0">
          <w:rPr>
            <w:rStyle w:val="Strong"/>
            <w:b w:val="0"/>
          </w:rPr>
          <w:t>nsi.bg</w:t>
        </w:r>
      </w:hyperlink>
      <w:r w:rsidRPr="00A744E0">
        <w:rPr>
          <w:rStyle w:val="Strong"/>
          <w:b w:val="0"/>
          <w:iCs/>
        </w:rPr>
        <w:t>.</w:t>
      </w:r>
    </w:p>
    <w:p w:rsidR="00D942B1" w:rsidRPr="00A744E0" w:rsidRDefault="00D942B1" w:rsidP="006A0099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</w:rPr>
      </w:pPr>
      <w:r w:rsidRPr="00A744E0">
        <w:rPr>
          <w:rFonts w:ascii="Times New Roman" w:hAnsi="Times New Roman" w:cs="Times New Roman"/>
        </w:rPr>
        <w:t> </w:t>
      </w:r>
    </w:p>
    <w:p w:rsidR="00A744E0" w:rsidRDefault="00D942B1" w:rsidP="00A744E0">
      <w:pPr>
        <w:pStyle w:val="NormalWeb"/>
        <w:shd w:val="clear" w:color="auto" w:fill="FFFFFF"/>
        <w:spacing w:before="240" w:beforeAutospacing="0" w:after="240" w:afterAutospacing="0" w:line="360" w:lineRule="auto"/>
        <w:ind w:firstLine="72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От таблицата се вижда, че най-много безработни има в групите 25–34 и 35–44 г. през 2020 г. (съответно 41.2 и 42.4 хил.). До 2024 г. общият брой на безработните спада (до 127.4 хил.), като най-голям относителен спад се наблюдава в най-младата група 15–24 г. (от 19.1 хил. на 15.0 хил.).</w:t>
      </w:r>
    </w:p>
    <w:p w:rsidR="00A744E0" w:rsidRPr="00A744E0" w:rsidRDefault="00A744E0" w:rsidP="00A744E0">
      <w:pPr>
        <w:pStyle w:val="NormalWeb"/>
        <w:shd w:val="clear" w:color="auto" w:fill="FFFFFF"/>
        <w:spacing w:before="240" w:beforeAutospacing="0" w:after="240" w:afterAutospacing="0" w:line="360" w:lineRule="auto"/>
        <w:ind w:firstLine="720"/>
        <w:textAlignment w:val="top"/>
        <w:rPr>
          <w:rStyle w:val="Strong"/>
          <w:b w:val="0"/>
        </w:rPr>
      </w:pPr>
    </w:p>
    <w:p w:rsidR="00A744E0" w:rsidRPr="00A744E0" w:rsidRDefault="00D942B1" w:rsidP="00A744E0">
      <w:pPr>
        <w:pStyle w:val="Heading1"/>
        <w:shd w:val="clear" w:color="auto" w:fill="FFFFFF"/>
        <w:spacing w:before="240" w:after="240" w:line="360" w:lineRule="auto"/>
        <w:rPr>
          <w:rFonts w:ascii="Times New Roman" w:hAnsi="Times New Roman" w:cs="Times New Roman"/>
          <w:b/>
          <w:i/>
          <w:color w:val="002060"/>
          <w:sz w:val="36"/>
          <w:szCs w:val="36"/>
        </w:rPr>
      </w:pPr>
      <w:r w:rsidRPr="00A744E0">
        <w:rPr>
          <w:rFonts w:ascii="Times New Roman" w:hAnsi="Times New Roman" w:cs="Times New Roman"/>
          <w:b/>
          <w:i/>
          <w:color w:val="002060"/>
          <w:sz w:val="36"/>
          <w:szCs w:val="36"/>
        </w:rPr>
        <w:lastRenderedPageBreak/>
        <w:t>3. Диаграми на честотното разпределение</w:t>
      </w:r>
    </w:p>
    <w:p w:rsidR="00D942B1" w:rsidRPr="00A744E0" w:rsidRDefault="005E4AA8" w:rsidP="00A744E0">
      <w:pPr>
        <w:pStyle w:val="NormalWeb"/>
        <w:shd w:val="clear" w:color="auto" w:fill="FFFFFF"/>
        <w:spacing w:before="240" w:beforeAutospacing="0" w:after="240" w:afterAutospacing="0" w:line="360" w:lineRule="auto"/>
        <w:ind w:firstLine="720"/>
        <w:textAlignment w:val="top"/>
        <w:rPr>
          <w:rStyle w:val="Strong"/>
          <w:b w:val="0"/>
        </w:rPr>
      </w:pPr>
      <w:hyperlink r:id="rId8" w:anchor=":~:text=%D0%9F%D0%BE%20%D0%B2%D1%8A%D0%B7%D1%80%D0%B0%D1%81%D1%82%D0%BE%D0%B2%D0%B8%20%D0%B3%D1%80%D1%83%D0%BF%D0%B8%2015%20,6" w:tgtFrame="_blank" w:history="1">
        <w:r w:rsidR="00D942B1" w:rsidRPr="00A744E0">
          <w:rPr>
            <w:rStyle w:val="Strong"/>
            <w:b w:val="0"/>
          </w:rPr>
          <w:t>nsi.bg</w:t>
        </w:r>
      </w:hyperlink>
      <w:r w:rsidR="00D942B1" w:rsidRPr="00A744E0">
        <w:rPr>
          <w:rStyle w:val="Strong"/>
          <w:b w:val="0"/>
        </w:rPr>
        <w:t xml:space="preserve"> Диаграмите илюстрират разпределението на безработните по възрастови групи. Стълбовидната диаграма сравнява числения брой безработни за 2020 и 2024 г. във всяка група. Например, най-много безработни има в групата 35–44 г. както през 2020 г., така и през 2024 г., а най-малко – в групата 15–24 г. (виж Стълбовидна диаграма). Крайното намаляване от 2020 до 2024 г. се вижда чрез по-ниските колони за 2024 </w:t>
      </w:r>
      <w:r w:rsidR="00A744E0" w:rsidRPr="00A744E0">
        <w:rPr>
          <w:rStyle w:val="Strong"/>
          <w:b w:val="0"/>
        </w:rPr>
        <w:t>г. илюстрирани с различен цвят.</w:t>
      </w:r>
    </w:p>
    <w:p w:rsidR="00D942B1" w:rsidRDefault="005E4AA8" w:rsidP="00A744E0">
      <w:pPr>
        <w:pStyle w:val="NormalWeb"/>
        <w:shd w:val="clear" w:color="auto" w:fill="FFFFFF"/>
        <w:spacing w:before="240" w:beforeAutospacing="0" w:after="240" w:afterAutospacing="0" w:line="360" w:lineRule="auto"/>
        <w:ind w:firstLine="720"/>
        <w:textAlignment w:val="top"/>
        <w:rPr>
          <w:rStyle w:val="Strong"/>
          <w:b w:val="0"/>
        </w:rPr>
      </w:pPr>
      <w:hyperlink r:id="rId9" w:anchor=":~:text=%D0%9F%D0%BE%20%D0%B2%D1%8A%D0%B7%D1%80%D0%B0%D1%81%D1%82%D0%BE%D0%B2%D0%B8%20%D0%B3%D1%80%D1%83%D0%BF%D0%B8%2015%20,6" w:tgtFrame="_blank" w:history="1">
        <w:r w:rsidR="00D942B1" w:rsidRPr="00A744E0">
          <w:rPr>
            <w:rStyle w:val="Strong"/>
            <w:b w:val="0"/>
          </w:rPr>
          <w:t>nsi.bg</w:t>
        </w:r>
      </w:hyperlink>
      <w:r w:rsidR="00D942B1" w:rsidRPr="00A744E0">
        <w:rPr>
          <w:rStyle w:val="Strong"/>
          <w:b w:val="0"/>
        </w:rPr>
        <w:t> Кръговата (пай) диаграма представя относителния дял на безработните за 2024 г. по възрастови групи. Най-голям относителен дял имат групите 35–44 (ок. 24.7%) и 25–34 (21.8%), докато най-малък – групата 15–24 (11.8%). Диаграмите допринасят за визуално сравнение на групите и подпомагат разбирането на разпределението.</w:t>
      </w:r>
    </w:p>
    <w:p w:rsidR="00A744E0" w:rsidRPr="00A744E0" w:rsidRDefault="00A744E0" w:rsidP="00A744E0">
      <w:pPr>
        <w:pStyle w:val="NormalWeb"/>
        <w:shd w:val="clear" w:color="auto" w:fill="FFFFFF"/>
        <w:spacing w:before="240" w:beforeAutospacing="0" w:after="240" w:afterAutospacing="0" w:line="360" w:lineRule="auto"/>
        <w:ind w:firstLine="720"/>
        <w:textAlignment w:val="top"/>
        <w:rPr>
          <w:rStyle w:val="Strong"/>
          <w:b w:val="0"/>
        </w:rPr>
      </w:pPr>
    </w:p>
    <w:p w:rsidR="00D942B1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Fonts w:ascii="Times New Roman" w:hAnsi="Times New Roman" w:cs="Times New Roman"/>
          <w:b/>
          <w:i/>
          <w:color w:val="002060"/>
          <w:sz w:val="36"/>
          <w:szCs w:val="36"/>
        </w:rPr>
      </w:pPr>
      <w:r w:rsidRPr="00A744E0">
        <w:rPr>
          <w:rFonts w:ascii="Times New Roman" w:hAnsi="Times New Roman" w:cs="Times New Roman"/>
          <w:b/>
          <w:i/>
          <w:color w:val="002060"/>
          <w:sz w:val="36"/>
          <w:szCs w:val="36"/>
        </w:rPr>
        <w:t>4. Средни величини</w:t>
      </w:r>
    </w:p>
    <w:p w:rsidR="00D942B1" w:rsidRPr="00A744E0" w:rsidRDefault="00D942B1" w:rsidP="006A0099">
      <w:pPr>
        <w:pStyle w:val="NormalWeb"/>
        <w:numPr>
          <w:ilvl w:val="0"/>
          <w:numId w:val="14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Средноаритметична стойност (2020 г.): xˉ=19.1+41.2+42.4+36.4+29.65=33.74xˉ=519.1+41.2+42.4+36.4+29.6​=33.74 (хил. безработни на група)</w:t>
      </w:r>
      <w:hyperlink r:id="rId10" w:anchor=":~:text=%D0%9F%D0%BE%20%D0%B2%D1%8A%D0%B7%D1%80%D0%B0%D1%81%D1%82%D0%BE%D0%B2%D0%B8%20%D0%B3%D1%80%D1%83%D0%BF%D0%B8%2015%20,6" w:tgtFrame="_blank" w:history="1">
        <w:r w:rsidRPr="00A744E0">
          <w:rPr>
            <w:rStyle w:val="Strong"/>
            <w:b w:val="0"/>
          </w:rPr>
          <w:t>nsi.bg</w:t>
        </w:r>
      </w:hyperlink>
      <w:r w:rsidRPr="00A744E0">
        <w:rPr>
          <w:rStyle w:val="Strong"/>
          <w:b w:val="0"/>
        </w:rPr>
        <w:t>. Това е средният брой безработни на една група.</w:t>
      </w:r>
    </w:p>
    <w:p w:rsidR="00D942B1" w:rsidRPr="00A744E0" w:rsidRDefault="00D942B1" w:rsidP="006A0099">
      <w:pPr>
        <w:pStyle w:val="NormalWeb"/>
        <w:numPr>
          <w:ilvl w:val="0"/>
          <w:numId w:val="14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Мода: групата с най-голяма честота. През 2020 г. най-много безработни има в групата 35–44 г. (42.4 хил.), тя е модата.</w:t>
      </w:r>
    </w:p>
    <w:p w:rsidR="00D942B1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(Ако се изчисли средноаритметично за 2024 г.: 15.0+27.8+31.5+29.0+24.15=25.48515.0+27.8+31.5+29.0+24.1​=25.48 хил. на група; мода също остава 35–44 г. с 31.5 хил.)</w:t>
      </w:r>
    </w:p>
    <w:p w:rsidR="00A744E0" w:rsidRPr="00A744E0" w:rsidRDefault="00A744E0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</w:p>
    <w:p w:rsidR="00D942B1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Fonts w:ascii="Times New Roman" w:hAnsi="Times New Roman" w:cs="Times New Roman"/>
          <w:b/>
          <w:i/>
          <w:color w:val="002060"/>
          <w:sz w:val="36"/>
          <w:szCs w:val="36"/>
        </w:rPr>
      </w:pPr>
      <w:r w:rsidRPr="00A744E0">
        <w:rPr>
          <w:rFonts w:ascii="Times New Roman" w:hAnsi="Times New Roman" w:cs="Times New Roman"/>
          <w:b/>
          <w:i/>
          <w:color w:val="002060"/>
          <w:sz w:val="36"/>
          <w:szCs w:val="36"/>
        </w:rPr>
        <w:lastRenderedPageBreak/>
        <w:t>5. Акумулирана честота и относителна честота</w:t>
      </w:r>
    </w:p>
    <w:p w:rsidR="00D942B1" w:rsidRPr="00A744E0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  <w:i/>
        </w:rPr>
      </w:pPr>
      <w:r w:rsidRPr="00A744E0">
        <w:rPr>
          <w:rStyle w:val="Strong"/>
          <w:b w:val="0"/>
          <w:i/>
        </w:rPr>
        <w:t>Табл. 2 показва натрупаната (акумулирана) честота и относителния дял на безработните до всяка група (напр. част от всички безработни, 100% = 168.7 хил. за 2020 г. и 127.4 хил. за 2024 г.):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81"/>
        <w:gridCol w:w="1438"/>
        <w:gridCol w:w="1106"/>
        <w:gridCol w:w="1418"/>
        <w:gridCol w:w="1439"/>
        <w:gridCol w:w="1106"/>
        <w:gridCol w:w="1418"/>
      </w:tblGrid>
      <w:tr w:rsidR="006A0099" w:rsidRPr="00A744E0" w:rsidTr="00A74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Fonts w:ascii="Times New Roman" w:hAnsi="Times New Roman" w:cs="Times New Roman"/>
                <w:b w:val="0"/>
                <w:bCs w:val="0"/>
              </w:rPr>
              <w:t>Възрастова група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Fonts w:ascii="Times New Roman" w:hAnsi="Times New Roman" w:cs="Times New Roman"/>
                <w:b w:val="0"/>
                <w:bCs w:val="0"/>
              </w:rPr>
              <w:t>Безработни (2020, хил.)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Fonts w:ascii="Times New Roman" w:hAnsi="Times New Roman" w:cs="Times New Roman"/>
                <w:b w:val="0"/>
                <w:bCs w:val="0"/>
              </w:rPr>
              <w:t>Отн. честота (2020)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Fonts w:ascii="Times New Roman" w:hAnsi="Times New Roman" w:cs="Times New Roman"/>
                <w:b w:val="0"/>
                <w:bCs w:val="0"/>
              </w:rPr>
              <w:t>Натрупана честота (%) (2020)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Fonts w:ascii="Times New Roman" w:hAnsi="Times New Roman" w:cs="Times New Roman"/>
                <w:b w:val="0"/>
                <w:bCs w:val="0"/>
              </w:rPr>
              <w:t>Безработни (2024, хил.)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Fonts w:ascii="Times New Roman" w:hAnsi="Times New Roman" w:cs="Times New Roman"/>
                <w:b w:val="0"/>
                <w:bCs w:val="0"/>
              </w:rPr>
              <w:t>Отн. честота (2024)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744E0">
              <w:rPr>
                <w:rFonts w:ascii="Times New Roman" w:hAnsi="Times New Roman" w:cs="Times New Roman"/>
                <w:b w:val="0"/>
                <w:bCs w:val="0"/>
              </w:rPr>
              <w:t>Натрупана честота (%) (2024)</w:t>
            </w:r>
          </w:p>
        </w:tc>
      </w:tr>
      <w:tr w:rsidR="006A0099" w:rsidRPr="00A744E0" w:rsidTr="00A74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15–24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19.1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11.3%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11.3%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15.0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11.8%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11.8%</w:t>
            </w:r>
          </w:p>
        </w:tc>
      </w:tr>
      <w:tr w:rsidR="006A0099" w:rsidRPr="00A744E0" w:rsidTr="00A74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25–34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41.2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24.4%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35.7%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27.8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21.8%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33.6%</w:t>
            </w:r>
          </w:p>
        </w:tc>
      </w:tr>
      <w:tr w:rsidR="006A0099" w:rsidRPr="00A744E0" w:rsidTr="00A74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35–44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42.4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25.1%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60.8%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31.5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24.7%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58.3%</w:t>
            </w:r>
          </w:p>
        </w:tc>
      </w:tr>
      <w:tr w:rsidR="006A0099" w:rsidRPr="00A744E0" w:rsidTr="00A74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45–54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36.4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21.6%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82.4%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29.0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22.8%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81.1%</w:t>
            </w:r>
          </w:p>
        </w:tc>
      </w:tr>
      <w:tr w:rsidR="006A0099" w:rsidRPr="00A744E0" w:rsidTr="00A74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rPr>
                <w:rFonts w:ascii="Times New Roman" w:hAnsi="Times New Roman" w:cs="Times New Roman"/>
                <w:b w:val="0"/>
              </w:rPr>
            </w:pPr>
            <w:r w:rsidRPr="00A744E0">
              <w:rPr>
                <w:rFonts w:ascii="Times New Roman" w:hAnsi="Times New Roman" w:cs="Times New Roman"/>
                <w:b w:val="0"/>
              </w:rPr>
              <w:t>55–64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29.6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17.6%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100.0%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24.1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18.9%</w:t>
            </w:r>
          </w:p>
        </w:tc>
        <w:tc>
          <w:tcPr>
            <w:tcW w:w="0" w:type="auto"/>
            <w:hideMark/>
          </w:tcPr>
          <w:p w:rsidR="00D942B1" w:rsidRPr="00A744E0" w:rsidRDefault="00D942B1" w:rsidP="006A0099">
            <w:pPr>
              <w:spacing w:before="240" w:after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44E0">
              <w:rPr>
                <w:rFonts w:ascii="Times New Roman" w:hAnsi="Times New Roman" w:cs="Times New Roman"/>
              </w:rPr>
              <w:t>100.0%</w:t>
            </w:r>
          </w:p>
        </w:tc>
      </w:tr>
    </w:tbl>
    <w:p w:rsidR="00D942B1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  <w:iCs/>
        </w:rPr>
      </w:pPr>
      <w:r w:rsidRPr="00A744E0">
        <w:rPr>
          <w:rStyle w:val="Strong"/>
          <w:b w:val="0"/>
          <w:iCs/>
        </w:rPr>
        <w:t>Табл. 2.</w:t>
      </w:r>
      <w:r w:rsidRPr="00A744E0">
        <w:rPr>
          <w:rStyle w:val="Strong"/>
          <w:b w:val="0"/>
          <w:i/>
        </w:rPr>
        <w:t> Натрупана честота и относителен дял на безработните лица по възрастови групи (2020 и 2024 г.). </w:t>
      </w:r>
      <w:r w:rsidRPr="00A744E0">
        <w:rPr>
          <w:rStyle w:val="Strong"/>
          <w:b w:val="0"/>
          <w:iCs/>
        </w:rPr>
        <w:t>Отн. честота = (брой/общо)·100%.</w:t>
      </w:r>
    </w:p>
    <w:p w:rsidR="00A744E0" w:rsidRPr="00A744E0" w:rsidRDefault="00A744E0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  <w:i/>
        </w:rPr>
      </w:pPr>
    </w:p>
    <w:p w:rsidR="00D942B1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Fonts w:ascii="Times New Roman" w:hAnsi="Times New Roman" w:cs="Times New Roman"/>
          <w:b/>
          <w:i/>
          <w:color w:val="002060"/>
          <w:sz w:val="36"/>
          <w:szCs w:val="36"/>
        </w:rPr>
      </w:pPr>
      <w:r w:rsidRPr="00A744E0">
        <w:rPr>
          <w:rFonts w:ascii="Times New Roman" w:hAnsi="Times New Roman" w:cs="Times New Roman"/>
          <w:b/>
          <w:i/>
          <w:color w:val="002060"/>
          <w:sz w:val="36"/>
          <w:szCs w:val="36"/>
        </w:rPr>
        <w:t>6. Дисперсия и стандартно отклонение на извадката</w:t>
      </w:r>
    </w:p>
    <w:p w:rsidR="00D942B1" w:rsidRPr="00A744E0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Изчисляваме дисперсията (s²) и стандартното отклонение (s) на извадката (групите) за 2020 г. Използваме честотите (в хиляди):</w:t>
      </w:r>
    </w:p>
    <w:p w:rsidR="00D942B1" w:rsidRPr="00A744E0" w:rsidRDefault="00D942B1" w:rsidP="006A0099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lastRenderedPageBreak/>
        <w:t>Средноаритметичната xˉ=33.74xˉ=33.74 хил. (вж. секция 4).</w:t>
      </w:r>
    </w:p>
    <w:p w:rsidR="00D942B1" w:rsidRPr="00A744E0" w:rsidRDefault="00D942B1" w:rsidP="006A0099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Дисперсия (извадкова): s2=∑(xi−xˉ)2n−1s2=n−1∑(xi​−xˉ)2​. За данни 19.1, 41.2, 42.4, 36.4, 29.6 (n=5):</w:t>
      </w:r>
    </w:p>
    <w:p w:rsidR="00D942B1" w:rsidRPr="00A744E0" w:rsidRDefault="00D942B1" w:rsidP="006A0099">
      <w:pPr>
        <w:shd w:val="clear" w:color="auto" w:fill="FFFFFF"/>
        <w:spacing w:before="240" w:after="240" w:line="360" w:lineRule="auto"/>
        <w:rPr>
          <w:rStyle w:val="Strong"/>
          <w:rFonts w:eastAsia="Times New Roman"/>
          <w:b w:val="0"/>
          <w:lang w:val="bg-BG" w:eastAsia="bg-BG"/>
        </w:rPr>
      </w:pPr>
      <w:r w:rsidRPr="00A744E0">
        <w:rPr>
          <w:rStyle w:val="Strong"/>
          <w:rFonts w:eastAsia="Times New Roman"/>
          <w:b w:val="0"/>
          <w:lang w:val="bg-BG" w:eastAsia="bg-BG"/>
        </w:rPr>
        <w:t>s2=(19.1−33.74)2+(41.2−33.74)2+</w:t>
      </w:r>
      <w:r w:rsidRPr="00A744E0">
        <w:rPr>
          <w:rStyle w:val="Strong"/>
          <w:rFonts w:ascii="Cambria Math" w:eastAsia="Times New Roman" w:hAnsi="Cambria Math" w:cs="Cambria Math"/>
          <w:b w:val="0"/>
          <w:lang w:val="bg-BG" w:eastAsia="bg-BG"/>
        </w:rPr>
        <w:t>⋯</w:t>
      </w:r>
      <w:r w:rsidRPr="00A744E0">
        <w:rPr>
          <w:rStyle w:val="Strong"/>
          <w:rFonts w:eastAsia="Times New Roman"/>
          <w:b w:val="0"/>
          <w:lang w:val="bg-BG" w:eastAsia="bg-BG"/>
        </w:rPr>
        <w:t>+(29.6−33.74)24≈92.30  (хил.2).s2=4(19.1−33.74)2+(41.2−33.74)2+</w:t>
      </w:r>
      <w:r w:rsidRPr="00A744E0">
        <w:rPr>
          <w:rStyle w:val="Strong"/>
          <w:rFonts w:ascii="Cambria Math" w:eastAsia="Times New Roman" w:hAnsi="Cambria Math" w:cs="Cambria Math"/>
          <w:b w:val="0"/>
          <w:lang w:val="bg-BG" w:eastAsia="bg-BG"/>
        </w:rPr>
        <w:t>⋯</w:t>
      </w:r>
      <w:r w:rsidRPr="00A744E0">
        <w:rPr>
          <w:rStyle w:val="Strong"/>
          <w:rFonts w:eastAsia="Times New Roman"/>
          <w:b w:val="0"/>
          <w:lang w:val="bg-BG" w:eastAsia="bg-BG"/>
        </w:rPr>
        <w:t>+(29.6−33.74)2​≈92.30(хил.2).</w:t>
      </w:r>
    </w:p>
    <w:p w:rsidR="00D942B1" w:rsidRPr="00A744E0" w:rsidRDefault="00D942B1" w:rsidP="006A0099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Стандартно отклонение: s=s2≈9.61s=s2​≈9.61 хил. (децимала).</w:t>
      </w:r>
    </w:p>
    <w:p w:rsidR="00D942B1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  <w:i/>
          <w:iCs/>
        </w:rPr>
      </w:pPr>
      <w:r w:rsidRPr="00A744E0">
        <w:rPr>
          <w:rStyle w:val="Strong"/>
          <w:b w:val="0"/>
          <w:i/>
          <w:iCs/>
        </w:rPr>
        <w:t>(При аналогични изчисления за 2024 г. стойностите са: </w:t>
      </w:r>
      <w:r w:rsidRPr="00A744E0">
        <w:rPr>
          <w:rStyle w:val="Strong"/>
          <w:b w:val="0"/>
        </w:rPr>
        <w:t>xˉ≈25.48xˉ≈25.48</w:t>
      </w:r>
      <w:r w:rsidRPr="00A744E0">
        <w:rPr>
          <w:rStyle w:val="Strong"/>
          <w:b w:val="0"/>
          <w:i/>
          <w:iCs/>
        </w:rPr>
        <w:t> хил., </w:t>
      </w:r>
      <w:r w:rsidRPr="00A744E0">
        <w:rPr>
          <w:rStyle w:val="Strong"/>
          <w:b w:val="0"/>
        </w:rPr>
        <w:t>s2≈58.60s2≈58.60</w:t>
      </w:r>
      <w:r w:rsidRPr="00A744E0">
        <w:rPr>
          <w:rStyle w:val="Strong"/>
          <w:b w:val="0"/>
          <w:i/>
          <w:iCs/>
        </w:rPr>
        <w:t>, </w:t>
      </w:r>
      <w:r w:rsidRPr="00A744E0">
        <w:rPr>
          <w:rStyle w:val="Strong"/>
          <w:b w:val="0"/>
        </w:rPr>
        <w:t>s≈7.66s≈7.66</w:t>
      </w:r>
      <w:r w:rsidRPr="00A744E0">
        <w:rPr>
          <w:rStyle w:val="Strong"/>
          <w:b w:val="0"/>
          <w:i/>
          <w:iCs/>
        </w:rPr>
        <w:t> хил.)</w:t>
      </w:r>
    </w:p>
    <w:p w:rsidR="00A744E0" w:rsidRPr="00A744E0" w:rsidRDefault="00A744E0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</w:p>
    <w:p w:rsidR="00D942B1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Fonts w:ascii="Times New Roman" w:hAnsi="Times New Roman" w:cs="Times New Roman"/>
          <w:b/>
          <w:i/>
          <w:color w:val="002060"/>
          <w:sz w:val="36"/>
          <w:szCs w:val="36"/>
        </w:rPr>
      </w:pPr>
      <w:r w:rsidRPr="00A744E0">
        <w:rPr>
          <w:rFonts w:ascii="Times New Roman" w:hAnsi="Times New Roman" w:cs="Times New Roman"/>
          <w:b/>
          <w:i/>
          <w:color w:val="002060"/>
          <w:sz w:val="36"/>
          <w:szCs w:val="36"/>
        </w:rPr>
        <w:t>7. Въпроси и отговори</w:t>
      </w:r>
    </w:p>
    <w:p w:rsidR="00D942B1" w:rsidRPr="00A744E0" w:rsidRDefault="00D942B1" w:rsidP="006A0099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Въпрос: Каква е вероятността (за 2024 г.), че случайно избран безработен е на възраст 15–24 г.?</w:t>
      </w:r>
      <w:r w:rsidRPr="00A744E0">
        <w:rPr>
          <w:rStyle w:val="Strong"/>
          <w:b w:val="0"/>
        </w:rPr>
        <w:br/>
        <w:t>Решение: От табл. 2 виждаме 15.0 хил. от 127.4 хил. безработни са на 15–24 г., т.е. относителен дял ≈11.8%. Вероятността (рела</w:t>
      </w:r>
      <w:r w:rsidRPr="00A744E0">
        <w:rPr>
          <w:rStyle w:val="Strong"/>
          <w:b w:val="0"/>
        </w:rPr>
        <w:softHyphen/>
        <w:t>тивна честота) е P(15–24)=15.0/127.4≈0.118P(15–24)=15.0/127.4≈0.118 (≈11.8%).</w:t>
      </w:r>
    </w:p>
    <w:p w:rsidR="00D942B1" w:rsidRPr="00A744E0" w:rsidRDefault="00D942B1" w:rsidP="006A0099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Въпрос: Каква е вероятността (2020 г.), че безработният е на възраст 25–34 г. или на 35–44 г.?</w:t>
      </w:r>
      <w:r w:rsidRPr="00A744E0">
        <w:rPr>
          <w:rStyle w:val="Strong"/>
          <w:b w:val="0"/>
        </w:rPr>
        <w:br/>
        <w:t>Решение: За 2020 г. броят на безработните 25–34 е 41.2 хил., 35–44 е 42.4 хил., общо 83.6 хил. от 168.7 хил. Сумарната относителна честота е (41.2+42.4)/168.7≈83.6/168.7≈0.495(41.2+42.4)/168.7≈83.6/168.7≈0.495, т.е. ≈49.5%. Така вероятността е ~0.50.</w:t>
      </w:r>
    </w:p>
    <w:p w:rsidR="00D942B1" w:rsidRPr="00A744E0" w:rsidRDefault="00D942B1" w:rsidP="006A0099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Въпрос: Каква е вероятността (2024 г.), че случайно избрано безработно лице е над 45 години (в някоя от групите 45–54 или 55–64)?</w:t>
      </w:r>
      <w:r w:rsidRPr="00A744E0">
        <w:rPr>
          <w:rStyle w:val="Strong"/>
          <w:b w:val="0"/>
        </w:rPr>
        <w:br/>
        <w:t xml:space="preserve">Решение: В 2024 г. безработни на 45–54 г. са 29.0 хил., а на 55–64 г. – 24.1 хил., общо 53.1 </w:t>
      </w:r>
      <w:r w:rsidRPr="00A744E0">
        <w:rPr>
          <w:rStyle w:val="Strong"/>
          <w:b w:val="0"/>
        </w:rPr>
        <w:lastRenderedPageBreak/>
        <w:t>хил. от 127.4 хил. Относителният дял е 53.1/127.4≈0.41753.1/127.4≈0.417 (≈41.7%). Вероятността е ≈41.7%.</w:t>
      </w:r>
    </w:p>
    <w:p w:rsidR="00D942B1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Emphasis"/>
        </w:rPr>
      </w:pPr>
      <w:r w:rsidRPr="00A744E0">
        <w:rPr>
          <w:rStyle w:val="Emphasis"/>
        </w:rPr>
        <w:t>(Допълнителни задачи могат да включват условна вероятност или очакване, но тук са дадени примери за разбиране на относителните честоти като вероятности.)</w:t>
      </w:r>
    </w:p>
    <w:p w:rsidR="00A744E0" w:rsidRPr="00A744E0" w:rsidRDefault="00A744E0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</w:pPr>
    </w:p>
    <w:p w:rsidR="00D942B1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Fonts w:ascii="Times New Roman" w:hAnsi="Times New Roman" w:cs="Times New Roman"/>
          <w:b/>
          <w:i/>
          <w:color w:val="002060"/>
          <w:sz w:val="36"/>
          <w:szCs w:val="36"/>
        </w:rPr>
      </w:pPr>
      <w:r w:rsidRPr="00A744E0">
        <w:rPr>
          <w:rFonts w:ascii="Times New Roman" w:hAnsi="Times New Roman" w:cs="Times New Roman"/>
          <w:b/>
          <w:i/>
          <w:color w:val="002060"/>
          <w:sz w:val="36"/>
          <w:szCs w:val="36"/>
        </w:rPr>
        <w:t>8. Анализ и интерпретация</w:t>
      </w:r>
    </w:p>
    <w:p w:rsidR="00D942B1" w:rsidRDefault="00D942B1" w:rsidP="00A744E0">
      <w:pPr>
        <w:pStyle w:val="NormalWeb"/>
        <w:shd w:val="clear" w:color="auto" w:fill="FFFFFF"/>
        <w:spacing w:before="240" w:beforeAutospacing="0" w:after="240" w:afterAutospacing="0" w:line="360" w:lineRule="auto"/>
        <w:ind w:firstLine="72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Данните показват, че през 2020 г. пандемията е довела до увеличение на безработицата (общо 168.7 хил.), като най-силно засегнати са млади хора (15–24 г.) и хора в активна възраст (35–44 г.). До 2024 г. безработицата намалява до 127.4 хил. (което съответства на по-нисък коефициент от 4.2%</w:t>
      </w:r>
      <w:hyperlink r:id="rId11" w:anchor=":~:text=%D0%9F%D1%80%D0%B5%D0%B7%202024%20%D0%B3,%D0%9D%D0%A1%D0%98" w:tgtFrame="_blank" w:history="1">
        <w:r w:rsidRPr="00A744E0">
          <w:rPr>
            <w:rStyle w:val="Strong"/>
            <w:b w:val="0"/>
          </w:rPr>
          <w:t>investor.bg</w:t>
        </w:r>
      </w:hyperlink>
      <w:r w:rsidRPr="00A744E0">
        <w:rPr>
          <w:rStyle w:val="Strong"/>
          <w:b w:val="0"/>
        </w:rPr>
        <w:t>). Най-голямо намаление в абсолютни стойности има при възраст 25–34 г. (от 41.2 на 27.8 хил.) и 35–44 г. (42.4 на 31.5 хил.), а от гледна точка на процент намалението е най-голямо при 15–24 г. Положителен тренд е, че дори при леко нарастване на икономическата активност, безработицата спада минимално (0.1 пр.п.)</w:t>
      </w:r>
      <w:hyperlink r:id="rId12" w:anchor=":~:text=%D0%9D%D0%B0%D1%86%D0%B8%D0%BE%D0%BD%D0%B0%D0%BB%D0%BD%D0%B8%D1%8F%D1%82%20%D1%81%D1%82%D0%B0%D1%82%D0%B8%D1%81%D1%82%D0%B8%D1%87%D0%B5%D1%81%D0%BA%D0%B8%20%D0%B8%D0%BD%D1%81%D1%82%D0%B8%D1%82%D1%83%D1%82%20%28%D0%9D%D0%A1%D0%98%29" w:tgtFrame="_blank" w:history="1">
        <w:r w:rsidRPr="00A744E0">
          <w:rPr>
            <w:rStyle w:val="Strong"/>
            <w:b w:val="0"/>
          </w:rPr>
          <w:t>investor.bg</w:t>
        </w:r>
      </w:hyperlink>
      <w:r w:rsidRPr="00A744E0">
        <w:rPr>
          <w:rStyle w:val="Strong"/>
          <w:b w:val="0"/>
        </w:rPr>
        <w:t>. Интерпретацията е, че пазарът на труда се стабилизира след кризата, но запазва висока безработица сред младите (ок. 11.8% от всички безработни през 2024 г.). Ключово наблюдение е, че относителният дял на младите безработни остава двуцифрен, въпреки макар и понижаваща се тенденция.</w:t>
      </w:r>
    </w:p>
    <w:p w:rsidR="00A744E0" w:rsidRPr="00A744E0" w:rsidRDefault="00A744E0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</w:p>
    <w:p w:rsidR="00D942B1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Style w:val="Strong"/>
          <w:rFonts w:eastAsia="Times New Roman"/>
          <w:i/>
          <w:color w:val="002060"/>
          <w:sz w:val="36"/>
          <w:szCs w:val="36"/>
          <w:lang w:val="bg-BG" w:eastAsia="bg-BG"/>
        </w:rPr>
      </w:pPr>
      <w:r w:rsidRPr="00A744E0">
        <w:rPr>
          <w:rStyle w:val="Strong"/>
          <w:rFonts w:eastAsia="Times New Roman"/>
          <w:i/>
          <w:color w:val="002060"/>
          <w:sz w:val="36"/>
          <w:szCs w:val="36"/>
          <w:lang w:val="bg-BG" w:eastAsia="bg-BG"/>
        </w:rPr>
        <w:t>9. Формули</w:t>
      </w:r>
    </w:p>
    <w:p w:rsidR="00D942B1" w:rsidRPr="00A744E0" w:rsidRDefault="00D942B1" w:rsidP="006A0099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Относителна честота: hi=fiN×100%hi​=Nfi​​×100%, където fifi​ – честота на група, NN – общ брой.</w:t>
      </w:r>
    </w:p>
    <w:p w:rsidR="00D942B1" w:rsidRPr="00A744E0" w:rsidRDefault="00D942B1" w:rsidP="006A0099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Натрупана честота: Fi=f1+f2+</w:t>
      </w:r>
      <w:r w:rsidRPr="00A744E0">
        <w:rPr>
          <w:rStyle w:val="Strong"/>
          <w:rFonts w:ascii="Cambria Math" w:hAnsi="Cambria Math" w:cs="Cambria Math"/>
          <w:b w:val="0"/>
        </w:rPr>
        <w:t>⋯</w:t>
      </w:r>
      <w:r w:rsidRPr="00A744E0">
        <w:rPr>
          <w:rStyle w:val="Strong"/>
          <w:b w:val="0"/>
        </w:rPr>
        <w:t>+fiFi​=f1​+f2​+</w:t>
      </w:r>
      <w:r w:rsidRPr="00A744E0">
        <w:rPr>
          <w:rStyle w:val="Strong"/>
          <w:rFonts w:ascii="Cambria Math" w:hAnsi="Cambria Math" w:cs="Cambria Math"/>
          <w:b w:val="0"/>
        </w:rPr>
        <w:t>⋯</w:t>
      </w:r>
      <w:r w:rsidRPr="00A744E0">
        <w:rPr>
          <w:rStyle w:val="Strong"/>
          <w:b w:val="0"/>
        </w:rPr>
        <w:t>+fi​.</w:t>
      </w:r>
    </w:p>
    <w:p w:rsidR="00D942B1" w:rsidRPr="00A744E0" w:rsidRDefault="00D942B1" w:rsidP="006A0099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Средноаритметично: xˉ=∑i=1nxinxˉ=n∑i=1n​xi​​.</w:t>
      </w:r>
    </w:p>
    <w:p w:rsidR="00D942B1" w:rsidRPr="00A744E0" w:rsidRDefault="00D942B1" w:rsidP="006A0099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Мода: стойността (група) с най-голяма честота.</w:t>
      </w:r>
    </w:p>
    <w:p w:rsidR="00D942B1" w:rsidRPr="00A744E0" w:rsidRDefault="00D942B1" w:rsidP="006A0099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lastRenderedPageBreak/>
        <w:t>Дисперсия (извадкова): s2=∑i=1n(xi−xˉ)2n−1s2=n−1∑i=1n​(xi​−xˉ)2​.</w:t>
      </w:r>
    </w:p>
    <w:p w:rsidR="00D942B1" w:rsidRPr="00A744E0" w:rsidRDefault="00D942B1" w:rsidP="006A0099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Стандартно отклонение: s=s2s=s2​.</w:t>
      </w:r>
    </w:p>
    <w:p w:rsidR="00D942B1" w:rsidRDefault="00D942B1" w:rsidP="006A0099">
      <w:pPr>
        <w:pStyle w:val="NormalWeb"/>
        <w:numPr>
          <w:ilvl w:val="0"/>
          <w:numId w:val="17"/>
        </w:numPr>
        <w:shd w:val="clear" w:color="auto" w:fill="FFFFFF"/>
        <w:spacing w:before="240" w:beforeAutospacing="0" w:after="240" w:afterAutospacing="0" w:line="360" w:lineRule="auto"/>
        <w:ind w:left="0" w:firstLine="0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Вероятност (емпирична): P(събитие)=честота на събитиетообщ бройP(събитие)=общ бройчестота на събитието​.</w:t>
      </w:r>
    </w:p>
    <w:p w:rsidR="00A744E0" w:rsidRPr="00A744E0" w:rsidRDefault="00A744E0" w:rsidP="00A744E0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</w:p>
    <w:p w:rsidR="00D942B1" w:rsidRPr="00A744E0" w:rsidRDefault="00D942B1" w:rsidP="006A0099">
      <w:pPr>
        <w:pStyle w:val="Heading1"/>
        <w:shd w:val="clear" w:color="auto" w:fill="FFFFFF"/>
        <w:spacing w:before="240" w:after="240" w:line="360" w:lineRule="auto"/>
        <w:rPr>
          <w:rStyle w:val="Strong"/>
          <w:rFonts w:eastAsia="Times New Roman"/>
          <w:i/>
          <w:color w:val="002060"/>
          <w:sz w:val="36"/>
          <w:szCs w:val="36"/>
          <w:lang w:val="bg-BG" w:eastAsia="bg-BG"/>
        </w:rPr>
      </w:pPr>
      <w:r w:rsidRPr="00A744E0">
        <w:rPr>
          <w:rStyle w:val="Strong"/>
          <w:rFonts w:eastAsia="Times New Roman"/>
          <w:i/>
          <w:color w:val="002060"/>
          <w:sz w:val="36"/>
          <w:szCs w:val="36"/>
          <w:lang w:val="bg-BG" w:eastAsia="bg-BG"/>
        </w:rPr>
        <w:t>10. Изчисления</w:t>
      </w:r>
    </w:p>
    <w:p w:rsidR="00D942B1" w:rsidRPr="00A744E0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Пример (за 2024 г.): Нека изчислим средноаритметичната и дисперсията:</w:t>
      </w:r>
    </w:p>
    <w:p w:rsidR="00D942B1" w:rsidRPr="00A744E0" w:rsidRDefault="00D942B1" w:rsidP="006A0099">
      <w:pPr>
        <w:shd w:val="clear" w:color="auto" w:fill="FFFFFF"/>
        <w:spacing w:before="240" w:after="240" w:line="360" w:lineRule="auto"/>
        <w:rPr>
          <w:rStyle w:val="Strong"/>
          <w:rFonts w:eastAsia="Times New Roman"/>
          <w:b w:val="0"/>
          <w:lang w:val="bg-BG" w:eastAsia="bg-BG"/>
        </w:rPr>
      </w:pPr>
      <w:r w:rsidRPr="00A744E0">
        <w:rPr>
          <w:rStyle w:val="Strong"/>
          <w:rFonts w:eastAsia="Times New Roman"/>
          <w:b w:val="0"/>
          <w:lang w:val="bg-BG" w:eastAsia="bg-BG"/>
        </w:rPr>
        <w:t>xˉ=15.0+27.8+31.5+29.0+24.15=25.48 (хил.).xˉ=515.0+27.8+31.5+29.0+24.1​=25.48 (хил.).</w:t>
      </w:r>
    </w:p>
    <w:p w:rsidR="00D942B1" w:rsidRPr="00A744E0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  <w:r w:rsidRPr="00A744E0">
        <w:rPr>
          <w:rStyle w:val="Strong"/>
          <w:b w:val="0"/>
        </w:rPr>
        <w:t>Изчисляваме ∑(xi−xˉ)2=(15.0−25.48)2+(27.8−25.48)2+</w:t>
      </w:r>
      <w:r w:rsidRPr="00A744E0">
        <w:rPr>
          <w:rStyle w:val="Strong"/>
          <w:rFonts w:ascii="Cambria Math" w:hAnsi="Cambria Math" w:cs="Cambria Math"/>
          <w:b w:val="0"/>
        </w:rPr>
        <w:t>⋯</w:t>
      </w:r>
      <w:r w:rsidRPr="00A744E0">
        <w:rPr>
          <w:rStyle w:val="Strong"/>
          <w:b w:val="0"/>
        </w:rPr>
        <w:t>+(24.1−25.48)2≈233.20∑(xi​−xˉ)2=(15.0−25.48)2+(27.8−25.48)2+</w:t>
      </w:r>
      <w:r w:rsidRPr="00A744E0">
        <w:rPr>
          <w:rStyle w:val="Strong"/>
          <w:rFonts w:ascii="Cambria Math" w:hAnsi="Cambria Math" w:cs="Cambria Math"/>
          <w:b w:val="0"/>
        </w:rPr>
        <w:t>⋯</w:t>
      </w:r>
      <w:r w:rsidRPr="00A744E0">
        <w:rPr>
          <w:rStyle w:val="Strong"/>
          <w:b w:val="0"/>
        </w:rPr>
        <w:t>+(24.1−25.48)2≈233.20.</w:t>
      </w:r>
      <w:r w:rsidRPr="00A744E0">
        <w:rPr>
          <w:rStyle w:val="Strong"/>
          <w:b w:val="0"/>
        </w:rPr>
        <w:br/>
        <w:t>Дисперсия (извадкова): s2=233.204=58.30s2=4233.20​=58.30 (хил.^2), стандартно отклонение s=58.30≈7.64s=58.30​≈7.64 (хил.).</w:t>
      </w:r>
    </w:p>
    <w:p w:rsidR="00D942B1" w:rsidRPr="00A744E0" w:rsidRDefault="00D942B1" w:rsidP="006A0099">
      <w:pPr>
        <w:shd w:val="clear" w:color="auto" w:fill="FFFFFF"/>
        <w:spacing w:before="240" w:after="240" w:line="360" w:lineRule="auto"/>
        <w:rPr>
          <w:rStyle w:val="Strong"/>
          <w:rFonts w:eastAsia="Times New Roman"/>
          <w:b w:val="0"/>
          <w:lang w:val="bg-BG" w:eastAsia="bg-BG"/>
        </w:rPr>
      </w:pPr>
      <w:r w:rsidRPr="00A744E0">
        <w:rPr>
          <w:rStyle w:val="Strong"/>
          <w:rFonts w:eastAsia="Times New Roman"/>
          <w:b w:val="0"/>
          <w:lang w:val="bg-BG" w:eastAsia="bg-BG"/>
        </w:rPr>
        <w:t> </w:t>
      </w:r>
    </w:p>
    <w:p w:rsidR="00D942B1" w:rsidRPr="00A744E0" w:rsidRDefault="00D942B1" w:rsidP="006A0099">
      <w:pPr>
        <w:pStyle w:val="NormalWeb"/>
        <w:shd w:val="clear" w:color="auto" w:fill="FFFFFF"/>
        <w:spacing w:before="240" w:beforeAutospacing="0" w:after="240" w:afterAutospacing="0" w:line="360" w:lineRule="auto"/>
        <w:textAlignment w:val="top"/>
        <w:rPr>
          <w:rStyle w:val="Strong"/>
          <w:b w:val="0"/>
        </w:rPr>
      </w:pPr>
      <w:r w:rsidRPr="00A744E0">
        <w:rPr>
          <w:rStyle w:val="Strong"/>
          <w:b w:val="0"/>
          <w:i/>
          <w:iCs/>
        </w:rPr>
        <w:t>Илюстрация на изчисленията е приложена за данните от 2024 г. (умаляване на абсолютните стойности се отразява в по-ниска дисперсия).</w:t>
      </w:r>
    </w:p>
    <w:p w:rsidR="00D942B1" w:rsidRPr="00A744E0" w:rsidRDefault="00D942B1" w:rsidP="006A0099">
      <w:pPr>
        <w:shd w:val="clear" w:color="auto" w:fill="FFFFFF"/>
        <w:spacing w:before="240" w:after="240" w:line="360" w:lineRule="auto"/>
        <w:rPr>
          <w:rStyle w:val="Strong"/>
          <w:rFonts w:eastAsia="Times New Roman"/>
          <w:b w:val="0"/>
          <w:lang w:val="bg-BG" w:eastAsia="bg-BG"/>
        </w:rPr>
      </w:pPr>
      <w:r w:rsidRPr="00A744E0">
        <w:rPr>
          <w:rStyle w:val="Strong"/>
          <w:rFonts w:eastAsia="Times New Roman"/>
          <w:b w:val="0"/>
          <w:lang w:val="bg-BG" w:eastAsia="bg-BG"/>
        </w:rPr>
        <w:t> </w:t>
      </w:r>
    </w:p>
    <w:p w:rsidR="00A744E0" w:rsidRPr="00A744E0" w:rsidRDefault="00A744E0" w:rsidP="00A744E0">
      <w:pPr>
        <w:pStyle w:val="Heading1"/>
        <w:shd w:val="clear" w:color="auto" w:fill="FFFFFF"/>
        <w:spacing w:before="240" w:after="240" w:line="360" w:lineRule="auto"/>
        <w:rPr>
          <w:rStyle w:val="Strong"/>
          <w:rFonts w:eastAsia="Times New Roman"/>
          <w:i/>
          <w:color w:val="002060"/>
          <w:sz w:val="36"/>
          <w:szCs w:val="36"/>
          <w:lang w:val="bg-BG" w:eastAsia="bg-BG"/>
        </w:rPr>
      </w:pPr>
      <w:r w:rsidRPr="00A744E0">
        <w:rPr>
          <w:rStyle w:val="Strong"/>
          <w:rFonts w:eastAsia="Times New Roman"/>
          <w:i/>
          <w:color w:val="002060"/>
          <w:sz w:val="36"/>
          <w:szCs w:val="36"/>
          <w:lang w:val="bg-BG" w:eastAsia="bg-BG"/>
        </w:rPr>
        <w:t>11. Източници</w:t>
      </w:r>
    </w:p>
    <w:p w:rsidR="00A744E0" w:rsidRPr="00A744E0" w:rsidRDefault="00A744E0" w:rsidP="00A744E0">
      <w:pPr>
        <w:shd w:val="clear" w:color="auto" w:fill="FFFFFF"/>
        <w:spacing w:before="240" w:after="240" w:line="360" w:lineRule="auto"/>
        <w:rPr>
          <w:rStyle w:val="Hyperlink"/>
          <w:color w:val="0070C0"/>
          <w:u w:val="single"/>
        </w:rPr>
      </w:pPr>
      <w:r w:rsidRPr="00A744E0">
        <w:rPr>
          <w:rStyle w:val="Strong"/>
          <w:rFonts w:eastAsia="Times New Roman"/>
          <w:b w:val="0"/>
          <w:color w:val="0070C0"/>
          <w:u w:val="single"/>
          <w:lang w:val="bg-BG" w:eastAsia="bg-BG"/>
        </w:rPr>
        <w:fldChar w:fldCharType="begin"/>
      </w:r>
      <w:r>
        <w:rPr>
          <w:rStyle w:val="Strong"/>
          <w:rFonts w:eastAsia="Times New Roman"/>
          <w:b w:val="0"/>
          <w:color w:val="0070C0"/>
          <w:u w:val="single"/>
          <w:lang w:val="bg-BG" w:eastAsia="bg-BG"/>
        </w:rPr>
        <w:instrText>HYPERLINK "C:\\Users\\pc\\Downloads\\Безработицата в България се понижава леко през 2024 г. - Investor.bghttps:\\www.investor.bg\\a\\517-pazar-na-truda\\410316-bezrabotitsata-v-balgariya-se-ponizhava-leko-prez-2024-g"</w:instrText>
      </w:r>
      <w:r w:rsidRPr="00A744E0">
        <w:rPr>
          <w:rStyle w:val="Strong"/>
          <w:rFonts w:eastAsia="Times New Roman"/>
          <w:b w:val="0"/>
          <w:color w:val="0070C0"/>
          <w:u w:val="single"/>
          <w:lang w:val="bg-BG" w:eastAsia="bg-BG"/>
        </w:rPr>
        <w:fldChar w:fldCharType="separate"/>
      </w:r>
      <w:r w:rsidRPr="00A744E0">
        <w:rPr>
          <w:rStyle w:val="Hyperlink"/>
          <w:color w:val="0070C0"/>
          <w:u w:val="single"/>
        </w:rPr>
        <w:t>Безработицата в България се понижава леко през 2024 г. - Investor.bg</w:t>
      </w:r>
    </w:p>
    <w:p w:rsidR="00A744E0" w:rsidRPr="00A744E0" w:rsidRDefault="00A744E0" w:rsidP="006A0099">
      <w:pPr>
        <w:shd w:val="clear" w:color="auto" w:fill="FFFFFF"/>
        <w:spacing w:before="240" w:after="240" w:line="360" w:lineRule="auto"/>
        <w:rPr>
          <w:rStyle w:val="Hyperlink"/>
          <w:rFonts w:eastAsia="Times New Roman"/>
          <w:color w:val="0070C0"/>
          <w:u w:val="single"/>
          <w:lang w:val="bg-BG" w:eastAsia="bg-BG"/>
        </w:rPr>
      </w:pPr>
      <w:r w:rsidRPr="00A744E0">
        <w:rPr>
          <w:rStyle w:val="Hyperlink"/>
          <w:rFonts w:eastAsia="Times New Roman"/>
          <w:color w:val="0070C0"/>
          <w:u w:val="single"/>
          <w:lang w:val="bg-BG" w:eastAsia="bg-BG"/>
        </w:rPr>
        <w:t>https://www.investor.bg/a/517-pazar-na-truda/410316-bezrabotitsata-v-balgariya-se-ponizhava-leko-prez-2024-g</w:t>
      </w:r>
    </w:p>
    <w:p w:rsidR="00D942B1" w:rsidRPr="00A744E0" w:rsidRDefault="00A744E0" w:rsidP="006A0099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070C0"/>
          <w:u w:val="single"/>
          <w:lang w:val="en-US"/>
        </w:rPr>
      </w:pPr>
      <w:r w:rsidRPr="00A744E0">
        <w:rPr>
          <w:rStyle w:val="Strong"/>
          <w:rFonts w:eastAsia="Times New Roman"/>
          <w:b w:val="0"/>
          <w:color w:val="0070C0"/>
          <w:u w:val="single"/>
          <w:lang w:val="bg-BG" w:eastAsia="bg-BG"/>
        </w:rPr>
        <w:lastRenderedPageBreak/>
        <w:fldChar w:fldCharType="end"/>
      </w:r>
      <w:r w:rsidRPr="00A744E0">
        <w:rPr>
          <w:rStyle w:val="Strong"/>
          <w:rFonts w:eastAsia="Times New Roman"/>
          <w:b w:val="0"/>
          <w:color w:val="0070C0"/>
          <w:u w:val="single"/>
          <w:lang w:val="en-US" w:eastAsia="bg-BG"/>
        </w:rPr>
        <w:t>nsi.bg</w:t>
      </w:r>
    </w:p>
    <w:bookmarkEnd w:id="0"/>
    <w:p w:rsidR="00D24ABE" w:rsidRPr="00A744E0" w:rsidRDefault="00D24ABE" w:rsidP="006A0099">
      <w:pPr>
        <w:spacing w:before="240" w:after="240" w:line="360" w:lineRule="auto"/>
        <w:rPr>
          <w:rFonts w:ascii="Times New Roman" w:hAnsi="Times New Roman" w:cs="Times New Roman"/>
        </w:rPr>
      </w:pPr>
    </w:p>
    <w:sectPr w:rsidR="00D24ABE" w:rsidRPr="00A744E0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354C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82F0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9B79A5"/>
    <w:multiLevelType w:val="multilevel"/>
    <w:tmpl w:val="17E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113D0"/>
    <w:multiLevelType w:val="multilevel"/>
    <w:tmpl w:val="9B8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972D6C"/>
    <w:multiLevelType w:val="multilevel"/>
    <w:tmpl w:val="A278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D5820"/>
    <w:multiLevelType w:val="multilevel"/>
    <w:tmpl w:val="257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F90A7F"/>
    <w:multiLevelType w:val="multilevel"/>
    <w:tmpl w:val="C29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486FF6"/>
    <w:multiLevelType w:val="multilevel"/>
    <w:tmpl w:val="20A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8471EA"/>
    <w:multiLevelType w:val="hybridMultilevel"/>
    <w:tmpl w:val="BFC44EAA"/>
    <w:lvl w:ilvl="0" w:tplc="3FA032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4A8D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845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28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5A6B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E682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D288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2C1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70A2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36106E"/>
    <w:multiLevelType w:val="multilevel"/>
    <w:tmpl w:val="1A8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03338"/>
    <w:multiLevelType w:val="multilevel"/>
    <w:tmpl w:val="504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14D24"/>
    <w:multiLevelType w:val="multilevel"/>
    <w:tmpl w:val="325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D26EBF"/>
    <w:multiLevelType w:val="multilevel"/>
    <w:tmpl w:val="AAF4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3B7AFB"/>
    <w:multiLevelType w:val="multilevel"/>
    <w:tmpl w:val="9DB2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522E3"/>
    <w:multiLevelType w:val="multilevel"/>
    <w:tmpl w:val="5298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6"/>
  </w:num>
  <w:num w:numId="7">
    <w:abstractNumId w:val="12"/>
  </w:num>
  <w:num w:numId="8">
    <w:abstractNumId w:val="3"/>
  </w:num>
  <w:num w:numId="9">
    <w:abstractNumId w:val="11"/>
  </w:num>
  <w:num w:numId="10">
    <w:abstractNumId w:val="9"/>
  </w:num>
  <w:num w:numId="11">
    <w:abstractNumId w:val="13"/>
  </w:num>
  <w:num w:numId="12">
    <w:abstractNumId w:val="10"/>
  </w:num>
  <w:num w:numId="13">
    <w:abstractNumId w:val="14"/>
  </w:num>
  <w:num w:numId="14">
    <w:abstractNumId w:val="7"/>
  </w:num>
  <w:num w:numId="15">
    <w:abstractNumId w:val="5"/>
  </w:num>
  <w:num w:numId="16">
    <w:abstractNumId w:val="4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ABE"/>
    <w:rsid w:val="005E4AA8"/>
    <w:rsid w:val="006A0099"/>
    <w:rsid w:val="00A744E0"/>
    <w:rsid w:val="00B65CE4"/>
    <w:rsid w:val="00D24ABE"/>
    <w:rsid w:val="00D74DBE"/>
    <w:rsid w:val="00D9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E3F72"/>
  <w15:docId w15:val="{6227217F-F838-46AF-9FF8-6DAEE128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bg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D34817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D74DB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g-BG" w:eastAsia="bg-BG"/>
    </w:rPr>
  </w:style>
  <w:style w:type="character" w:customStyle="1" w:styleId="ms-1">
    <w:name w:val="ms-1"/>
    <w:basedOn w:val="DefaultParagraphFont"/>
    <w:rsid w:val="00D74DBE"/>
  </w:style>
  <w:style w:type="character" w:customStyle="1" w:styleId="max-w-15ch">
    <w:name w:val="max-w-[15ch]"/>
    <w:basedOn w:val="DefaultParagraphFont"/>
    <w:rsid w:val="00D74DBE"/>
  </w:style>
  <w:style w:type="character" w:styleId="Strong">
    <w:name w:val="Strong"/>
    <w:basedOn w:val="DefaultParagraphFont"/>
    <w:uiPriority w:val="22"/>
    <w:qFormat/>
    <w:rsid w:val="00D74DBE"/>
    <w:rPr>
      <w:b/>
      <w:bCs/>
    </w:rPr>
  </w:style>
  <w:style w:type="character" w:styleId="Emphasis">
    <w:name w:val="Emphasis"/>
    <w:basedOn w:val="DefaultParagraphFont"/>
    <w:uiPriority w:val="20"/>
    <w:qFormat/>
    <w:rsid w:val="00D74DBE"/>
    <w:rPr>
      <w:i/>
      <w:iCs/>
    </w:rPr>
  </w:style>
  <w:style w:type="character" w:customStyle="1" w:styleId="katex-mathml">
    <w:name w:val="katex-mathml"/>
    <w:basedOn w:val="DefaultParagraphFont"/>
    <w:rsid w:val="00D74DBE"/>
  </w:style>
  <w:style w:type="character" w:customStyle="1" w:styleId="mord">
    <w:name w:val="mord"/>
    <w:basedOn w:val="DefaultParagraphFont"/>
    <w:rsid w:val="00D74DBE"/>
  </w:style>
  <w:style w:type="character" w:customStyle="1" w:styleId="mrel">
    <w:name w:val="mrel"/>
    <w:basedOn w:val="DefaultParagraphFont"/>
    <w:rsid w:val="00D74DBE"/>
  </w:style>
  <w:style w:type="character" w:customStyle="1" w:styleId="mopen">
    <w:name w:val="mopen"/>
    <w:basedOn w:val="DefaultParagraphFont"/>
    <w:rsid w:val="00D74DBE"/>
  </w:style>
  <w:style w:type="character" w:customStyle="1" w:styleId="mop">
    <w:name w:val="mop"/>
    <w:basedOn w:val="DefaultParagraphFont"/>
    <w:rsid w:val="00D74DBE"/>
  </w:style>
  <w:style w:type="character" w:customStyle="1" w:styleId="vlist-s">
    <w:name w:val="vlist-s"/>
    <w:basedOn w:val="DefaultParagraphFont"/>
    <w:rsid w:val="00D74DBE"/>
  </w:style>
  <w:style w:type="character" w:customStyle="1" w:styleId="mclose">
    <w:name w:val="mclose"/>
    <w:basedOn w:val="DefaultParagraphFont"/>
    <w:rsid w:val="00D74DBE"/>
  </w:style>
  <w:style w:type="character" w:customStyle="1" w:styleId="mbin">
    <w:name w:val="mbin"/>
    <w:basedOn w:val="DefaultParagraphFont"/>
    <w:rsid w:val="00D74DBE"/>
  </w:style>
  <w:style w:type="character" w:customStyle="1" w:styleId="mpunct">
    <w:name w:val="mpunct"/>
    <w:basedOn w:val="DefaultParagraphFont"/>
    <w:rsid w:val="00D74DBE"/>
  </w:style>
  <w:style w:type="paragraph" w:customStyle="1" w:styleId="text-normal">
    <w:name w:val="text-normal"/>
    <w:basedOn w:val="Normal"/>
    <w:rsid w:val="00D74DB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g-BG" w:eastAsia="bg-BG"/>
    </w:rPr>
  </w:style>
  <w:style w:type="character" w:customStyle="1" w:styleId="mspace">
    <w:name w:val="mspace"/>
    <w:basedOn w:val="DefaultParagraphFont"/>
    <w:rsid w:val="00D942B1"/>
  </w:style>
  <w:style w:type="character" w:customStyle="1" w:styleId="minner">
    <w:name w:val="minner"/>
    <w:basedOn w:val="DefaultParagraphFont"/>
    <w:rsid w:val="00D942B1"/>
  </w:style>
  <w:style w:type="table" w:styleId="PlainTable3">
    <w:name w:val="Plain Table 3"/>
    <w:basedOn w:val="TableNormal"/>
    <w:rsid w:val="006A009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3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6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79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2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90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4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04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2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692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5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3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2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0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1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2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3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0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0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33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20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08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02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76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4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1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2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9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4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7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70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2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4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2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si.bg/sites/default/files/files/publications/StatBook2024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nsi.bg/sites/default/files/files/publications/StatBook2024.pdf" TargetMode="External"/><Relationship Id="rId12" Type="http://schemas.openxmlformats.org/officeDocument/2006/relationships/hyperlink" Target="https://www.investor.bg/a/517-pazar-na-truda/410316-bezrabotitsata-v-balgariya-se-ponizhava-leko-prez-2024-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si.bg/sites/default/files/files/publications/StatBook2024.pdf" TargetMode="External"/><Relationship Id="rId11" Type="http://schemas.openxmlformats.org/officeDocument/2006/relationships/hyperlink" Target="https://www.investor.bg/a/517-pazar-na-truda/410316-bezrabotitsata-v-balgariya-se-ponizhava-leko-prez-2024-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nsi.bg/sites/default/files/files/publications/StatBook2024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si.bg/sites/default/files/files/publications/StatBook2024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DC297-43F5-4BB8-8778-FCBC85F33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keywords/>
  <cp:lastModifiedBy>pc</cp:lastModifiedBy>
  <cp:revision>3</cp:revision>
  <dcterms:created xsi:type="dcterms:W3CDTF">2025-11-10T23:06:00Z</dcterms:created>
  <dcterms:modified xsi:type="dcterms:W3CDTF">2025-11-10T23:09:00Z</dcterms:modified>
  <dc:language>bg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