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 SemiBold" w:cs="Montserrat SemiBold" w:eastAsia="Montserrat SemiBold" w:hAnsi="Montserrat SemiBold"/>
          <w:color w:val="434343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sz w:val="28"/>
          <w:szCs w:val="28"/>
          <w:rtl w:val="0"/>
        </w:rPr>
        <w:t xml:space="preserve">PREMIO Y GANADORES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 empresa determinarán los ganadores bajo estos criterios que se explicaran desde el inicio del evento: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Nivel de complejidad de la solución técnica (35%)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Avance en el desarrollo de la solución (35%)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Innovación de la solución presentada (15%)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Pitch/Presentación de la solución a nivel de negocio (15%)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