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</w:pPr>
      <w:r>
        <w:rPr>
          <w:color w:val="333333"/>
          <w:sz w:val="16"/>
        </w:rPr>
        <w:t>Máster Universitario en Sistemas Inteligentes — USAL · Metodología de la Investigación</w:t>
        <w:tab/>
        <w:t>Paso 1 · Día 1</w:t>
      </w:r>
    </w:p>
    <w:p>
      <w:pPr>
        <w:spacing w:after="20"/>
      </w:pPr>
      <w:r>
        <w:rPr>
          <w:b/>
          <w:sz w:val="25"/>
        </w:rPr>
        <w:t>Estimación de la calidad de transmisión mediante aprendizaje automático en la red DWDM ferroviaria Moscú-Kazánskaya – Riazán</w:t>
      </w:r>
    </w:p>
    <w:p>
      <w:pPr>
        <w:pBdr>
          <w:bottom w:val="single" w:sz="8" w:space="3" w:color="000000"/>
        </w:pBdr>
        <w:tabs>
          <w:tab w:pos="10091" w:val="right"/>
        </w:tabs>
      </w:pPr>
      <w:r>
        <w:rPr>
          <w:color w:val="333333"/>
          <w:sz w:val="16"/>
        </w:rPr>
        <w:t>Angel Luis Acosta González</w:t>
        <w:tab/>
        <w:t>Título provisional · 28 de septiembre de 2026</w:t>
      </w:r>
    </w:p>
    <w:p>
      <w:pPr>
        <w:keepNext/>
        <w:spacing w:before="120" w:after="20"/>
      </w:pPr>
      <w:r>
        <w:rPr>
          <w:b/>
          <w:smallCaps/>
          <w:sz w:val="20"/>
        </w:rPr>
        <w:t>1. Planteamiento del problema</w:t>
      </w:r>
    </w:p>
    <w:p>
      <w:pPr>
        <w:jc w:val="both"/>
      </w:pPr>
      <w:r>
        <w:t>En mi trabajo de fin de grado (ingeniería ferroviaria, RUT MIIT, 2026) diseñé la red primaria de comunicaciones del tramo Moscú-Kazánskaya – Riazán-1 (198,3 km): un anillo DWDM entre Moscú-Kazánskaya, Voskresensk y Riazán-1, más una cadena de acceso de 22 estaciones, con canales de 10 Gbit/s sobre fibra G.652 (α = 0,22 dB/km). La calidad de transmisión (QoT) se verificó con un modelo analítico aplicado solo al tramo más desfavorable (Voskresensk – Riazán-1, 108,9 km). El resultado fue Q = 7,37 y BER = 8,9·10</w:t>
      </w:r>
      <w:r>
        <w:rPr>
          <w:vertAlign w:val="superscript"/>
        </w:rPr>
        <w:t>−14</w:t>
      </w:r>
      <w:r>
        <w:t>, frente a un umbral normativo de 10</w:t>
      </w:r>
      <w:r>
        <w:rPr>
          <w:vertAlign w:val="superscript"/>
        </w:rPr>
        <w:t>−11</w:t>
      </w:r>
      <w:r>
        <w:t xml:space="preserve"> (Q = 6,71).</w:t>
      </w:r>
    </w:p>
    <w:p>
      <w:pPr>
        <w:jc w:val="both"/>
      </w:pPr>
      <w:r>
        <w:t xml:space="preserve">Ese enfoque es </w:t>
      </w:r>
      <w:r>
        <w:rPr>
          <w:b/>
        </w:rPr>
        <w:t>estático y conservador</w:t>
      </w:r>
      <w:r>
        <w:t>: se calcula una sola vez, para un caso extremo y con márgenes fijos. No tiene en cuenta la degradación durante la explotación: envejecimiento de la fibra y de los amplificadores EDFA, empalmes por reparaciones o variaciones de temperatura. Tampoco recoge el hielo y las inundaciones, que el propio proyecto identifica como riesgos del trazado, ni la reconfiguración de canales en los OADM. Recalcular a mano cada canal óptico (</w:t>
      </w:r>
      <w:r>
        <w:rPr>
          <w:i/>
        </w:rPr>
        <w:t>lightpath</w:t>
      </w:r>
      <w:r>
        <w:t>) en cada situación es costoso, y los márgenes fijos tienden a sobredimensionar la red.</w:t>
      </w:r>
    </w:p>
    <w:p>
      <w:pPr>
        <w:keepNext/>
        <w:spacing w:before="120" w:after="20"/>
      </w:pPr>
      <w:r>
        <w:rPr>
          <w:b/>
          <w:smallCaps/>
          <w:sz w:val="20"/>
        </w:rPr>
        <w:t>2. Pregunta inicial de investigación</w:t>
      </w:r>
    </w:p>
    <w:p>
      <w:pPr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ind w:left="85" w:right="85"/>
        <w:jc w:val="both"/>
      </w:pPr>
      <w:r>
        <w:t>¿Puede un modelo de aprendizaje automático, entrenado con parámetros de enlace a los que accede el operador, estimar el factor Q y la BER de todos los canales de la red ferroviaria con una precisión comparable al modelo analítico, en mucho menos tiempo y también en condiciones degradadas?</w:t>
      </w:r>
    </w:p>
    <w:p>
      <w:pPr>
        <w:keepNext/>
        <w:spacing w:before="120" w:after="20"/>
      </w:pPr>
      <w:r>
        <w:rPr>
          <w:b/>
          <w:smallCaps/>
          <w:sz w:val="20"/>
        </w:rPr>
        <w:t>3. Novedad e interés</w:t>
      </w:r>
    </w:p>
    <w:p>
      <w:pPr>
        <w:pStyle w:val="ListBullet"/>
        <w:jc w:val="both"/>
      </w:pPr>
      <w:r>
        <w:rPr>
          <w:b/>
        </w:rPr>
        <w:t xml:space="preserve">Vacío: </w:t>
      </w:r>
      <w:r>
        <w:t xml:space="preserve">la estimación de QoT con aprendizaje automático está consolidada en redes troncales de larga distancia [1–3]. Su aplicación a </w:t>
      </w:r>
      <w:r>
        <w:rPr>
          <w:b/>
        </w:rPr>
        <w:t>redes de comunicaciones ferroviarias</w:t>
      </w:r>
      <w:r>
        <w:t xml:space="preserve"> parece mucho menos tratada, lo que se confirmará en la revisión bibliográfica del Paso 2. Estas redes son regionales, con muchas estaciones de acceso, expuestas a condiciones ambientales severas y, en este caso, limitadas a equipos de fabricación nacional.</w:t>
      </w:r>
    </w:p>
    <w:p>
      <w:pPr>
        <w:pStyle w:val="ListBullet"/>
        <w:jc w:val="both"/>
      </w:pPr>
      <w:r>
        <w:rPr>
          <w:b/>
        </w:rPr>
        <w:t xml:space="preserve">Interés: </w:t>
      </w:r>
      <w:r>
        <w:t>se sustituye un cálculo puntual por un sistema inteligente que evalúa la red de forma continua. Es un paso hacia la gestión autónoma de redes y el mantenimiento predictivo de una infraestructura crítica para la seguridad ferroviaria.</w:t>
      </w:r>
    </w:p>
    <w:p>
      <w:pPr>
        <w:keepNext/>
        <w:spacing w:before="120" w:after="20"/>
      </w:pPr>
      <w:r>
        <w:rPr>
          <w:b/>
          <w:smallCaps/>
          <w:sz w:val="20"/>
        </w:rPr>
        <w:t>4. Objetivos</w:t>
      </w:r>
    </w:p>
    <w:p>
      <w:pPr>
        <w:jc w:val="both"/>
      </w:pPr>
      <w:r>
        <w:rPr>
          <w:b/>
        </w:rPr>
        <w:t xml:space="preserve">General: </w:t>
      </w:r>
      <w:r>
        <w:t>desarrollar y evaluar un estimador de QoT basado en aprendizaje automático para la red DWDM del tramo Moscú-Kazánskaya – Riazán.</w:t>
      </w:r>
    </w:p>
    <w:p>
      <w:pPr>
        <w:pStyle w:val="ListNumber"/>
        <w:jc w:val="both"/>
      </w:pPr>
      <w:r>
        <w:t>Construir un conjunto de datos de canales ópticos de la red a partir del modelo analítico del proyecto de grado, incluyendo condiciones de degradación.</w:t>
      </w:r>
    </w:p>
    <w:p>
      <w:pPr>
        <w:pStyle w:val="ListNumber"/>
        <w:jc w:val="both"/>
      </w:pPr>
      <w:r>
        <w:t>Entrenar y comparar distintos modelos de aprendizaje automático con un modelo de referencia sencillo.</w:t>
      </w:r>
    </w:p>
    <w:p>
      <w:pPr>
        <w:pStyle w:val="ListNumber"/>
        <w:jc w:val="both"/>
      </w:pPr>
      <w:r>
        <w:t>Evaluar su precisión y su tiempo de cálculo frente al método analítico.</w:t>
      </w:r>
    </w:p>
    <w:p>
      <w:pPr>
        <w:pStyle w:val="ListNumber"/>
        <w:jc w:val="both"/>
      </w:pPr>
      <w:r>
        <w:t>Analizar si la estimación permitiría ajustar los márgenes de diseño de la red.</w:t>
      </w:r>
    </w:p>
    <w:p>
      <w:pPr>
        <w:keepNext/>
        <w:spacing w:before="120" w:after="20"/>
      </w:pPr>
      <w:r>
        <w:rPr>
          <w:b/>
          <w:smallCaps/>
          <w:sz w:val="20"/>
        </w:rPr>
        <w:t>5. Hipótesis provisional</w:t>
      </w:r>
    </w:p>
    <w:p>
      <w:pPr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spacing w:after="0"/>
        <w:ind w:left="85" w:right="85"/>
        <w:jc w:val="both"/>
      </w:pPr>
      <w:r>
        <w:rPr>
          <w:b/>
        </w:rPr>
        <w:t>H</w:t>
      </w:r>
      <w:r>
        <w:rPr>
          <w:b/>
          <w:vertAlign w:val="subscript"/>
        </w:rPr>
        <w:t>1</w:t>
      </w:r>
      <w:r>
        <w:rPr>
          <w:b/>
        </w:rPr>
        <w:t xml:space="preserve">: </w:t>
      </w:r>
      <w:r>
        <w:t>un modelo de aprendizaje automático entrenado con parámetros del enlace podrá determinar si un canal cumple el umbral BER ≤ 10</w:t>
      </w:r>
      <w:r>
        <w:rPr>
          <w:vertAlign w:val="superscript"/>
        </w:rPr>
        <w:t>−11</w:t>
      </w:r>
      <w:r>
        <w:t xml:space="preserve"> con una exactitud de al menos el 95 %, en un tiempo de cálculo inferior al del método analítico.</w:t>
      </w:r>
    </w:p>
    <w:p>
      <w:pPr>
        <w:pBdr>
          <w:top w:val="single" w:sz="6" w:space="3" w:color="000000"/>
          <w:left w:val="single" w:sz="6" w:space="3" w:color="000000"/>
          <w:bottom w:val="single" w:sz="6" w:space="3" w:color="000000"/>
          <w:right w:val="single" w:sz="6" w:space="3" w:color="000000"/>
        </w:pBdr>
        <w:ind w:left="85" w:right="85"/>
        <w:jc w:val="both"/>
      </w:pPr>
      <w:r>
        <w:rPr>
          <w:b/>
        </w:rPr>
        <w:t>H</w:t>
      </w:r>
      <w:r>
        <w:rPr>
          <w:b/>
          <w:vertAlign w:val="subscript"/>
        </w:rPr>
        <w:t>0</w:t>
      </w:r>
      <w:r>
        <w:rPr>
          <w:b/>
        </w:rPr>
        <w:t xml:space="preserve">: </w:t>
      </w:r>
      <w:r>
        <w:t>los modelos de aprendizaje automático no mejoran de forma significativa al modelo de referencia sencillo.</w:t>
      </w:r>
    </w:p>
    <w:p>
      <w:pPr>
        <w:jc w:val="both"/>
      </w:pPr>
      <w:r>
        <w:rPr>
          <w:b/>
        </w:rPr>
        <w:t xml:space="preserve">Limitación prevista: </w:t>
      </w:r>
      <w:r>
        <w:t>el conjunto de datos será sintético, generado con el modelo físico del proyecto, y no con mediciones reales del operador. La validez externa deberá contrastarse con conjuntos de datos públicos de QoT.</w:t>
      </w:r>
    </w:p>
    <w:p>
      <w:pPr>
        <w:pBdr>
          <w:top w:val="single" w:sz="4" w:space="3" w:color="000000"/>
        </w:pBdr>
        <w:spacing w:after="10" w:before="100"/>
      </w:pPr>
      <w:r>
        <w:rPr>
          <w:sz w:val="15"/>
        </w:rPr>
        <w:t xml:space="preserve">[1] Pointurier, Y. (2021). Machine learning techniques for quality of transmission estimation in optical networks. </w:t>
      </w:r>
      <w:r>
        <w:rPr>
          <w:i/>
          <w:sz w:val="15"/>
        </w:rPr>
        <w:t>Journal of Optical Communications and Networking</w:t>
      </w:r>
      <w:r>
        <w:rPr>
          <w:sz w:val="15"/>
        </w:rPr>
        <w:t>, 13(4), B60. https://doi.org/10.1364/JOCN.417434</w:t>
      </w:r>
    </w:p>
    <w:p>
      <w:pPr>
        <w:spacing w:after="10"/>
      </w:pPr>
      <w:r>
        <w:rPr>
          <w:sz w:val="15"/>
        </w:rPr>
        <w:t xml:space="preserve">[2] Mata, J., de Miguel, I., Durán Barroso, R. J., et al. (2018). Supervised machine learning techniques for quality of transmission assessment in optical networks. </w:t>
      </w:r>
      <w:r>
        <w:rPr>
          <w:i/>
          <w:sz w:val="15"/>
        </w:rPr>
        <w:t>ICTON 2018</w:t>
      </w:r>
      <w:r>
        <w:rPr>
          <w:sz w:val="15"/>
        </w:rPr>
        <w:t>, 1–4. IEEE. https://doi.org/10.1109/ICTON.2018.8473819</w:t>
      </w:r>
    </w:p>
    <w:p>
      <w:pPr>
        <w:spacing w:after="10"/>
      </w:pPr>
      <w:r>
        <w:rPr>
          <w:sz w:val="15"/>
        </w:rPr>
        <w:t xml:space="preserve">[3] Kozdrowski, S., Cichosz, P., Paziewski, P., &amp; Sujecki, S. (2020). Machine learning algorithms for prediction of the quality of transmission in optical networks. </w:t>
      </w:r>
      <w:r>
        <w:rPr>
          <w:i/>
          <w:sz w:val="15"/>
        </w:rPr>
        <w:t>Entropy</w:t>
      </w:r>
      <w:r>
        <w:rPr>
          <w:sz w:val="15"/>
        </w:rPr>
        <w:t>, 23(1), 7. https://doi.org/10.3390/e23010007</w:t>
      </w:r>
    </w:p>
    <w:sectPr w:rsidR="00FC693F" w:rsidRPr="0006063C" w:rsidSect="00034616">
      <w:pgSz w:w="11906" w:h="16838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2" w:lineRule="auto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