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22081094"/>
        <w:docPartObj>
          <w:docPartGallery w:val="Cover Pages"/>
          <w:docPartUnique/>
        </w:docPartObj>
      </w:sdtPr>
      <w:sdtContent>
        <w:p w14:paraId="11760756" w14:textId="4A4D2516" w:rsidR="00AB2A74" w:rsidRDefault="00AB2A74">
          <w:r>
            <w:rPr>
              <w:noProof/>
            </w:rPr>
            <mc:AlternateContent>
              <mc:Choice Requires="wpg">
                <w:drawing>
                  <wp:anchor distT="0" distB="0" distL="114300" distR="114300" simplePos="0" relativeHeight="251661312" behindDoc="1" locked="0" layoutInCell="1" allowOverlap="1" wp14:anchorId="780432CC" wp14:editId="541DC407">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8744F5E" w14:textId="5AF5FC99" w:rsidR="00AB2A74" w:rsidRDefault="00AB2A74">
                                      <w:pPr>
                                        <w:pStyle w:val="Sinespaciado"/>
                                        <w:spacing w:before="120"/>
                                        <w:jc w:val="center"/>
                                        <w:rPr>
                                          <w:color w:val="FFFFFF" w:themeColor="background1"/>
                                        </w:rPr>
                                      </w:pPr>
                                      <w:r>
                                        <w:rPr>
                                          <w:color w:val="FFFFFF" w:themeColor="background1"/>
                                        </w:rPr>
                                        <w:t>Arlet Acosta González</w:t>
                                      </w:r>
                                    </w:p>
                                  </w:sdtContent>
                                </w:sdt>
                                <w:p w14:paraId="5115C2AE" w14:textId="2A9E94C9" w:rsidR="00AB2A74" w:rsidRDefault="00AB2A74">
                                  <w:pPr>
                                    <w:pStyle w:val="Sinespaciado"/>
                                    <w:spacing w:before="120"/>
                                    <w:jc w:val="center"/>
                                    <w:rPr>
                                      <w:color w:val="FFFFFF" w:themeColor="background1"/>
                                    </w:rPr>
                                  </w:pPr>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Herramientas interactivas de simulación y control</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E32D91"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B424645" w14:textId="24972704" w:rsidR="00AB2A74" w:rsidRDefault="00AB2A74">
                                      <w:pPr>
                                        <w:pStyle w:val="Sinespaciado"/>
                                        <w:jc w:val="center"/>
                                        <w:rPr>
                                          <w:rFonts w:asciiTheme="majorHAnsi" w:eastAsiaTheme="majorEastAsia" w:hAnsiTheme="majorHAnsi" w:cstheme="majorBidi"/>
                                          <w:caps/>
                                          <w:color w:val="E32D91" w:themeColor="accent1"/>
                                          <w:sz w:val="72"/>
                                          <w:szCs w:val="72"/>
                                        </w:rPr>
                                      </w:pPr>
                                      <w:r>
                                        <w:rPr>
                                          <w:rFonts w:asciiTheme="majorHAnsi" w:eastAsiaTheme="majorEastAsia" w:hAnsiTheme="majorHAnsi" w:cstheme="majorBidi"/>
                                          <w:caps/>
                                          <w:color w:val="E32D91" w:themeColor="accent1"/>
                                          <w:sz w:val="72"/>
                                          <w:szCs w:val="72"/>
                                        </w:rPr>
                                        <w:t>Práctica 2 de simulink</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80432CC" id="Grupo 193" o:spid="_x0000_s1026" style="position:absolute;left:0;text-align:left;margin-left:0;margin-top:0;width:540.55pt;height:718.4pt;z-index:-2516551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e32d91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e32d91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8744F5E" w14:textId="5AF5FC99" w:rsidR="00AB2A74" w:rsidRDefault="00AB2A74">
                                <w:pPr>
                                  <w:pStyle w:val="Sinespaciado"/>
                                  <w:spacing w:before="120"/>
                                  <w:jc w:val="center"/>
                                  <w:rPr>
                                    <w:color w:val="FFFFFF" w:themeColor="background1"/>
                                  </w:rPr>
                                </w:pPr>
                                <w:r>
                                  <w:rPr>
                                    <w:color w:val="FFFFFF" w:themeColor="background1"/>
                                  </w:rPr>
                                  <w:t>Arlet Acosta González</w:t>
                                </w:r>
                              </w:p>
                            </w:sdtContent>
                          </w:sdt>
                          <w:p w14:paraId="5115C2AE" w14:textId="2A9E94C9" w:rsidR="00AB2A74" w:rsidRDefault="00AB2A74">
                            <w:pPr>
                              <w:pStyle w:val="Sinespaciado"/>
                              <w:spacing w:before="120"/>
                              <w:jc w:val="center"/>
                              <w:rPr>
                                <w:color w:val="FFFFFF" w:themeColor="background1"/>
                              </w:rPr>
                            </w:pPr>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Herramientas interactivas de simulación y control</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E32D91"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B424645" w14:textId="24972704" w:rsidR="00AB2A74" w:rsidRDefault="00AB2A74">
                                <w:pPr>
                                  <w:pStyle w:val="Sinespaciado"/>
                                  <w:jc w:val="center"/>
                                  <w:rPr>
                                    <w:rFonts w:asciiTheme="majorHAnsi" w:eastAsiaTheme="majorEastAsia" w:hAnsiTheme="majorHAnsi" w:cstheme="majorBidi"/>
                                    <w:caps/>
                                    <w:color w:val="E32D91" w:themeColor="accent1"/>
                                    <w:sz w:val="72"/>
                                    <w:szCs w:val="72"/>
                                  </w:rPr>
                                </w:pPr>
                                <w:r>
                                  <w:rPr>
                                    <w:rFonts w:asciiTheme="majorHAnsi" w:eastAsiaTheme="majorEastAsia" w:hAnsiTheme="majorHAnsi" w:cstheme="majorBidi"/>
                                    <w:caps/>
                                    <w:color w:val="E32D91" w:themeColor="accent1"/>
                                    <w:sz w:val="72"/>
                                    <w:szCs w:val="72"/>
                                  </w:rPr>
                                  <w:t>Práctica 2 de simulink</w:t>
                                </w:r>
                              </w:p>
                            </w:sdtContent>
                          </w:sdt>
                        </w:txbxContent>
                      </v:textbox>
                    </v:shape>
                    <w10:wrap anchorx="page" anchory="page"/>
                  </v:group>
                </w:pict>
              </mc:Fallback>
            </mc:AlternateContent>
          </w:r>
        </w:p>
        <w:p w14:paraId="58607A82" w14:textId="14F62D91" w:rsidR="00AB2A74" w:rsidRDefault="00AB2A74">
          <w:pPr>
            <w:jc w:val="left"/>
            <w:rPr>
              <w:rFonts w:asciiTheme="majorHAnsi" w:eastAsiaTheme="majorEastAsia" w:hAnsiTheme="majorHAnsi" w:cstheme="majorBidi"/>
              <w:color w:val="B3186D" w:themeColor="accent1" w:themeShade="BF"/>
              <w:sz w:val="32"/>
              <w:szCs w:val="32"/>
            </w:rPr>
          </w:pPr>
          <w:r>
            <w:br w:type="page"/>
          </w:r>
        </w:p>
      </w:sdtContent>
    </w:sdt>
    <w:p w14:paraId="51299416" w14:textId="1229604F" w:rsidR="0013304B" w:rsidRDefault="00874D24" w:rsidP="00874D24">
      <w:pPr>
        <w:pStyle w:val="Ttulo1"/>
      </w:pPr>
      <w:r>
        <w:lastRenderedPageBreak/>
        <w:t>Sistema del depósito con controlador PI</w:t>
      </w:r>
    </w:p>
    <w:p w14:paraId="0EEE90F2" w14:textId="4B750E3D" w:rsidR="00874D24" w:rsidRPr="00874D24" w:rsidRDefault="00874D24" w:rsidP="00874D24">
      <w:pPr>
        <w:pStyle w:val="Ttulo2"/>
      </w:pPr>
      <w:r>
        <w:t xml:space="preserve">Con bloque PI de </w:t>
      </w:r>
      <w:r w:rsidR="00AB2A74">
        <w:t>Simulink</w:t>
      </w:r>
    </w:p>
    <w:p w14:paraId="2F0AA042" w14:textId="03E6E420" w:rsidR="00874D24" w:rsidRDefault="00874D24">
      <w:r>
        <w:t>En la figura 1, se muestra el esquema en Simulink del sistema del depósito con un tanque, controlado con un controlador PI utilizando el Bloque PI que facilita Simulink.</w:t>
      </w:r>
    </w:p>
    <w:p w14:paraId="26B38D78" w14:textId="77777777" w:rsidR="00874D24" w:rsidRDefault="00874D24" w:rsidP="00874D24">
      <w:pPr>
        <w:keepNext/>
        <w:jc w:val="center"/>
      </w:pPr>
      <w:r w:rsidRPr="00352731">
        <w:rPr>
          <w:noProof/>
        </w:rPr>
        <w:drawing>
          <wp:inline distT="0" distB="0" distL="0" distR="0" wp14:anchorId="71343D6A" wp14:editId="4D107876">
            <wp:extent cx="5400040" cy="2005330"/>
            <wp:effectExtent l="19050" t="19050" r="10160"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005330"/>
                    </a:xfrm>
                    <a:prstGeom prst="rect">
                      <a:avLst/>
                    </a:prstGeom>
                    <a:ln>
                      <a:solidFill>
                        <a:schemeClr val="bg2">
                          <a:lumMod val="50000"/>
                        </a:schemeClr>
                      </a:solidFill>
                    </a:ln>
                  </pic:spPr>
                </pic:pic>
              </a:graphicData>
            </a:graphic>
          </wp:inline>
        </w:drawing>
      </w:r>
    </w:p>
    <w:p w14:paraId="7B7E0197" w14:textId="3BDA72F6" w:rsidR="00874D24" w:rsidRDefault="00874D24" w:rsidP="00874D24">
      <w:pPr>
        <w:pStyle w:val="Descripcin"/>
        <w:jc w:val="center"/>
      </w:pPr>
      <w:r>
        <w:t xml:space="preserve">Fig. </w:t>
      </w:r>
      <w:r w:rsidR="000B12E3">
        <w:fldChar w:fldCharType="begin"/>
      </w:r>
      <w:r w:rsidR="000B12E3">
        <w:instrText xml:space="preserve"> SEQ Fig. \* ARABIC </w:instrText>
      </w:r>
      <w:r w:rsidR="000B12E3">
        <w:fldChar w:fldCharType="separate"/>
      </w:r>
      <w:r w:rsidR="000B12E3">
        <w:rPr>
          <w:noProof/>
        </w:rPr>
        <w:t>1</w:t>
      </w:r>
      <w:r w:rsidR="000B12E3">
        <w:rPr>
          <w:noProof/>
        </w:rPr>
        <w:fldChar w:fldCharType="end"/>
      </w:r>
      <w:r>
        <w:t xml:space="preserve"> Esquema en Simulink del depósito con un controlador PI</w:t>
      </w:r>
    </w:p>
    <w:p w14:paraId="30ECD23A" w14:textId="6CD12320" w:rsidR="00EB2D50" w:rsidRDefault="00C45B63">
      <w:r>
        <w:t>Se ha comenzado la configuración del controlador solo con el bloque P, para lo que el mejor resultado se ha visto con Kp=10. Figura 2</w:t>
      </w:r>
    </w:p>
    <w:p w14:paraId="72CB6FF9" w14:textId="77777777" w:rsidR="00EB2D50" w:rsidRDefault="00EB2D50" w:rsidP="00471EB9">
      <w:pPr>
        <w:keepNext/>
        <w:jc w:val="center"/>
      </w:pPr>
      <w:r w:rsidRPr="00EB2D50">
        <w:rPr>
          <w:noProof/>
        </w:rPr>
        <w:drawing>
          <wp:inline distT="0" distB="0" distL="0" distR="0" wp14:anchorId="39B2C6F7" wp14:editId="6648526D">
            <wp:extent cx="5400040" cy="36468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646805"/>
                    </a:xfrm>
                    <a:prstGeom prst="rect">
                      <a:avLst/>
                    </a:prstGeom>
                  </pic:spPr>
                </pic:pic>
              </a:graphicData>
            </a:graphic>
          </wp:inline>
        </w:drawing>
      </w:r>
    </w:p>
    <w:p w14:paraId="106903A0" w14:textId="08766FAB" w:rsidR="00EB2D50" w:rsidRDefault="00EB2D50" w:rsidP="00471EB9">
      <w:pPr>
        <w:pStyle w:val="Descripcin"/>
        <w:jc w:val="center"/>
      </w:pPr>
      <w:r>
        <w:t xml:space="preserve">Fig. </w:t>
      </w:r>
      <w:r w:rsidR="000B12E3">
        <w:fldChar w:fldCharType="begin"/>
      </w:r>
      <w:r w:rsidR="000B12E3">
        <w:instrText xml:space="preserve"> SEQ Fig. \* ARABIC </w:instrText>
      </w:r>
      <w:r w:rsidR="000B12E3">
        <w:fldChar w:fldCharType="separate"/>
      </w:r>
      <w:r w:rsidR="000B12E3">
        <w:rPr>
          <w:noProof/>
        </w:rPr>
        <w:t>2</w:t>
      </w:r>
      <w:r w:rsidR="000B12E3">
        <w:rPr>
          <w:noProof/>
        </w:rPr>
        <w:fldChar w:fldCharType="end"/>
      </w:r>
      <w:r>
        <w:t xml:space="preserve"> </w:t>
      </w:r>
      <w:r w:rsidR="0099540B">
        <w:t>Referencia (azul) y salida (amarillo) para Kp</w:t>
      </w:r>
      <w:r>
        <w:t>=10</w:t>
      </w:r>
    </w:p>
    <w:p w14:paraId="2434FF99" w14:textId="203E622E" w:rsidR="00EB2D50" w:rsidRDefault="00EB2D50" w:rsidP="00EB2D50"/>
    <w:p w14:paraId="05CE736D" w14:textId="557B2563" w:rsidR="00C45B63" w:rsidRDefault="00471EB9" w:rsidP="00EB2D50">
      <w:pPr>
        <w:keepNext/>
      </w:pPr>
      <w:r>
        <w:lastRenderedPageBreak/>
        <w:t xml:space="preserve">Luego de hallar Kp, se buscó un valor para el integrador. Se encontró que con I=0.4, se obtiene un buen resultado, pues se logra eliminar el error estacionario. </w:t>
      </w:r>
    </w:p>
    <w:p w14:paraId="1257092F" w14:textId="2E3D6EBF" w:rsidR="00EB2D50" w:rsidRDefault="00EB2D50" w:rsidP="00471EB9">
      <w:pPr>
        <w:keepNext/>
        <w:jc w:val="center"/>
      </w:pPr>
      <w:r w:rsidRPr="00EB2D50">
        <w:rPr>
          <w:noProof/>
        </w:rPr>
        <w:drawing>
          <wp:inline distT="0" distB="0" distL="0" distR="0" wp14:anchorId="0DB100A4" wp14:editId="74EDACD3">
            <wp:extent cx="5400040" cy="33667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66770"/>
                    </a:xfrm>
                    <a:prstGeom prst="rect">
                      <a:avLst/>
                    </a:prstGeom>
                  </pic:spPr>
                </pic:pic>
              </a:graphicData>
            </a:graphic>
          </wp:inline>
        </w:drawing>
      </w:r>
    </w:p>
    <w:p w14:paraId="14495123" w14:textId="68F26EAB" w:rsidR="00EB2D50" w:rsidRDefault="00EB2D50" w:rsidP="00471EB9">
      <w:pPr>
        <w:pStyle w:val="Descripcin"/>
        <w:jc w:val="center"/>
      </w:pPr>
      <w:r>
        <w:t xml:space="preserve">Fig. </w:t>
      </w:r>
      <w:r w:rsidR="000B12E3">
        <w:fldChar w:fldCharType="begin"/>
      </w:r>
      <w:r w:rsidR="000B12E3">
        <w:instrText xml:space="preserve"> SEQ Fig. \* ARABIC </w:instrText>
      </w:r>
      <w:r w:rsidR="000B12E3">
        <w:fldChar w:fldCharType="separate"/>
      </w:r>
      <w:r w:rsidR="000B12E3">
        <w:rPr>
          <w:noProof/>
        </w:rPr>
        <w:t>3</w:t>
      </w:r>
      <w:r w:rsidR="000B12E3">
        <w:rPr>
          <w:noProof/>
        </w:rPr>
        <w:fldChar w:fldCharType="end"/>
      </w:r>
      <w:r>
        <w:t xml:space="preserve"> </w:t>
      </w:r>
      <w:r w:rsidR="00471EB9">
        <w:t xml:space="preserve">Referencia (azul) y salida (amarillo) para Kp=10 </w:t>
      </w:r>
      <w:r>
        <w:t>e I=0.4</w:t>
      </w:r>
    </w:p>
    <w:p w14:paraId="31D90FCC" w14:textId="77777777" w:rsidR="004A303B" w:rsidRDefault="004A303B" w:rsidP="004A303B">
      <w:r>
        <w:t>De modo general, se puede decir que a medida que aumenta el valor de Ti, disminuye el error estacionario, pues este parámetro es una medida de cuán rápido el error estacionario es eliminado. Por otra parte, al disminuir el valor de Kp, se logra que el transitorio no sea tan brusco.</w:t>
      </w:r>
    </w:p>
    <w:p w14:paraId="4E578A4E" w14:textId="7504223C" w:rsidR="00352731" w:rsidRDefault="00C43811" w:rsidP="00434A6E">
      <w:pPr>
        <w:keepNext/>
      </w:pPr>
      <w:r>
        <w:t>Luego se ha probado hacer distintos salto</w:t>
      </w:r>
      <w:r w:rsidR="00F11D34">
        <w:t>s</w:t>
      </w:r>
      <w:r>
        <w:t xml:space="preserve"> en la señal de referencia para observar cómo responde el sistema con el controlador PI.</w:t>
      </w:r>
      <w:r w:rsidR="00F11D34">
        <w:t xml:space="preserve"> Cuando el salto en la referencia se aleja del</w:t>
      </w:r>
      <w:r w:rsidR="00845BF4">
        <w:t xml:space="preserve"> </w:t>
      </w:r>
      <w:r w:rsidR="00F11D34">
        <w:t>punto de operación para el que se definieron los parámetros, el controlador ya no funciona tan bien, por ser un proceso no lineal.</w:t>
      </w:r>
    </w:p>
    <w:p w14:paraId="13C058BA" w14:textId="7EC45E03" w:rsidR="004270BB" w:rsidRDefault="004270BB" w:rsidP="00AA6D1F">
      <w:pPr>
        <w:keepNext/>
        <w:jc w:val="center"/>
      </w:pPr>
      <w:r w:rsidRPr="004270BB">
        <w:rPr>
          <w:noProof/>
        </w:rPr>
        <w:drawing>
          <wp:inline distT="0" distB="0" distL="0" distR="0" wp14:anchorId="66C856C2" wp14:editId="6DD82930">
            <wp:extent cx="4768732" cy="23137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4613" cy="2316563"/>
                    </a:xfrm>
                    <a:prstGeom prst="rect">
                      <a:avLst/>
                    </a:prstGeom>
                  </pic:spPr>
                </pic:pic>
              </a:graphicData>
            </a:graphic>
          </wp:inline>
        </w:drawing>
      </w:r>
    </w:p>
    <w:p w14:paraId="1196A48B" w14:textId="3B5E0E8A" w:rsidR="00EB2D50" w:rsidRDefault="004270BB" w:rsidP="00AA6D1F">
      <w:pPr>
        <w:pStyle w:val="Descripcin"/>
        <w:jc w:val="center"/>
      </w:pPr>
      <w:r>
        <w:t xml:space="preserve">Fig. </w:t>
      </w:r>
      <w:r w:rsidR="000B12E3">
        <w:fldChar w:fldCharType="begin"/>
      </w:r>
      <w:r w:rsidR="000B12E3">
        <w:instrText xml:space="preserve"> SEQ Fig. \* ARABIC </w:instrText>
      </w:r>
      <w:r w:rsidR="000B12E3">
        <w:fldChar w:fldCharType="separate"/>
      </w:r>
      <w:r w:rsidR="000B12E3">
        <w:rPr>
          <w:noProof/>
        </w:rPr>
        <w:t>4</w:t>
      </w:r>
      <w:r w:rsidR="000B12E3">
        <w:rPr>
          <w:noProof/>
        </w:rPr>
        <w:fldChar w:fldCharType="end"/>
      </w:r>
      <w:r>
        <w:t xml:space="preserve"> Varios saltos</w:t>
      </w:r>
    </w:p>
    <w:p w14:paraId="1C2B41F4" w14:textId="30CBF326" w:rsidR="004270BB" w:rsidRDefault="004270BB" w:rsidP="004270BB">
      <w:r>
        <w:t xml:space="preserve">En la figura 3, ver que </w:t>
      </w:r>
      <w:r w:rsidR="00352731">
        <w:t>el PI funciona mejor cerca del punto de operación para el que se han calculado sus parámetros.</w:t>
      </w:r>
    </w:p>
    <w:p w14:paraId="1B3BD0B3" w14:textId="60C218F9" w:rsidR="00352731" w:rsidRDefault="00352731" w:rsidP="004270BB"/>
    <w:p w14:paraId="11450045" w14:textId="536C3B95" w:rsidR="00352731" w:rsidRDefault="00352731" w:rsidP="00352731">
      <w:pPr>
        <w:pStyle w:val="Ttulo2"/>
      </w:pPr>
      <w:r>
        <w:t>Controlador PI sin el bloque de Simulink</w:t>
      </w:r>
    </w:p>
    <w:p w14:paraId="6C6550BA" w14:textId="43A4F758" w:rsidR="00352731" w:rsidRDefault="00AA6D1F" w:rsidP="00352731">
      <w:r>
        <w:t>En la figura 4 se muestra el esquema completo en Simulink del sistema del depósito y señalado en rojo, la parte correspondiente al controlador PI.</w:t>
      </w:r>
    </w:p>
    <w:p w14:paraId="6B485FF0" w14:textId="1E26FFEF" w:rsidR="005D5E04" w:rsidRDefault="00AA6D1F" w:rsidP="005D5E04">
      <w:pPr>
        <w:keepNext/>
        <w:jc w:val="center"/>
      </w:pPr>
      <w:r>
        <w:rPr>
          <w:noProof/>
        </w:rPr>
        <mc:AlternateContent>
          <mc:Choice Requires="wps">
            <w:drawing>
              <wp:anchor distT="0" distB="0" distL="114300" distR="114300" simplePos="0" relativeHeight="251659264" behindDoc="0" locked="0" layoutInCell="1" allowOverlap="1" wp14:anchorId="59353AB5" wp14:editId="33295345">
                <wp:simplePos x="0" y="0"/>
                <wp:positionH relativeFrom="column">
                  <wp:posOffset>762520</wp:posOffset>
                </wp:positionH>
                <wp:positionV relativeFrom="paragraph">
                  <wp:posOffset>637136</wp:posOffset>
                </wp:positionV>
                <wp:extent cx="1343775" cy="879764"/>
                <wp:effectExtent l="0" t="0" r="27940" b="15875"/>
                <wp:wrapNone/>
                <wp:docPr id="8" name="Rectángulo 8"/>
                <wp:cNvGraphicFramePr/>
                <a:graphic xmlns:a="http://schemas.openxmlformats.org/drawingml/2006/main">
                  <a:graphicData uri="http://schemas.microsoft.com/office/word/2010/wordprocessingShape">
                    <wps:wsp>
                      <wps:cNvSpPr/>
                      <wps:spPr>
                        <a:xfrm>
                          <a:off x="0" y="0"/>
                          <a:ext cx="1343775" cy="8797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4C647" id="Rectángulo 8" o:spid="_x0000_s1026" style="position:absolute;margin-left:60.05pt;margin-top:50.15pt;width:105.8pt;height:6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" filled="f" strokecolor="red" strokeweight="1pt"/>
            </w:pict>
          </mc:Fallback>
        </mc:AlternateContent>
      </w:r>
      <w:r w:rsidR="005D5E04" w:rsidRPr="005D5E04">
        <w:rPr>
          <w:noProof/>
        </w:rPr>
        <w:drawing>
          <wp:inline distT="0" distB="0" distL="0" distR="0" wp14:anchorId="07E8C752" wp14:editId="4EE526AA">
            <wp:extent cx="5111354" cy="1579418"/>
            <wp:effectExtent l="19050" t="19050" r="13335" b="209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3816"/>
                    <a:stretch/>
                  </pic:blipFill>
                  <pic:spPr bwMode="auto">
                    <a:xfrm>
                      <a:off x="0" y="0"/>
                      <a:ext cx="5114305" cy="158033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inline>
        </w:drawing>
      </w:r>
    </w:p>
    <w:p w14:paraId="4E7CB98C" w14:textId="571D3922" w:rsidR="00352731" w:rsidRDefault="005D5E04" w:rsidP="005D5E04">
      <w:pPr>
        <w:pStyle w:val="Descripcin"/>
        <w:jc w:val="center"/>
      </w:pPr>
      <w:r>
        <w:t xml:space="preserve">Fig. </w:t>
      </w:r>
      <w:r w:rsidR="000B12E3">
        <w:fldChar w:fldCharType="begin"/>
      </w:r>
      <w:r w:rsidR="000B12E3">
        <w:instrText xml:space="preserve"> SEQ Fig. \* ARABIC </w:instrText>
      </w:r>
      <w:r w:rsidR="000B12E3">
        <w:fldChar w:fldCharType="separate"/>
      </w:r>
      <w:r w:rsidR="000B12E3">
        <w:rPr>
          <w:noProof/>
        </w:rPr>
        <w:t>5</w:t>
      </w:r>
      <w:r w:rsidR="000B12E3">
        <w:rPr>
          <w:noProof/>
        </w:rPr>
        <w:fldChar w:fldCharType="end"/>
      </w:r>
      <w:r>
        <w:t xml:space="preserve"> PI sin bloque PI de </w:t>
      </w:r>
      <w:proofErr w:type="spellStart"/>
      <w:r>
        <w:t>simulink</w:t>
      </w:r>
      <w:proofErr w:type="spellEnd"/>
    </w:p>
    <w:p w14:paraId="01DC439F" w14:textId="4345A75E" w:rsidR="00BC08A1" w:rsidRDefault="00BC08A1" w:rsidP="00BC08A1">
      <w:pPr>
        <w:keepNext/>
      </w:pPr>
      <w:r>
        <w:t>En la figura 5 se muestra la salida y referencia del sistema para el controlador PI para los valores Kp=4 e I=0.2.</w:t>
      </w:r>
    </w:p>
    <w:p w14:paraId="6DB5F1BA" w14:textId="3D305290" w:rsidR="00E20D8C" w:rsidRDefault="00E20D8C" w:rsidP="00BC08A1">
      <w:pPr>
        <w:keepNext/>
        <w:jc w:val="center"/>
      </w:pPr>
      <w:r w:rsidRPr="00E20D8C">
        <w:rPr>
          <w:noProof/>
        </w:rPr>
        <w:drawing>
          <wp:inline distT="0" distB="0" distL="0" distR="0" wp14:anchorId="2FE93DF5" wp14:editId="12D3E40C">
            <wp:extent cx="5400040" cy="264541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45410"/>
                    </a:xfrm>
                    <a:prstGeom prst="rect">
                      <a:avLst/>
                    </a:prstGeom>
                  </pic:spPr>
                </pic:pic>
              </a:graphicData>
            </a:graphic>
          </wp:inline>
        </w:drawing>
      </w:r>
    </w:p>
    <w:p w14:paraId="02F1071C" w14:textId="4A9E775B" w:rsidR="005D5E04" w:rsidRDefault="00E20D8C" w:rsidP="00BC08A1">
      <w:pPr>
        <w:pStyle w:val="Descripcin"/>
        <w:jc w:val="center"/>
      </w:pPr>
      <w:r>
        <w:t xml:space="preserve">Fig. </w:t>
      </w:r>
      <w:r w:rsidR="000B12E3">
        <w:fldChar w:fldCharType="begin"/>
      </w:r>
      <w:r w:rsidR="000B12E3">
        <w:instrText xml:space="preserve"> SEQ Fig. \* ARABIC </w:instrText>
      </w:r>
      <w:r w:rsidR="000B12E3">
        <w:fldChar w:fldCharType="separate"/>
      </w:r>
      <w:r w:rsidR="000B12E3">
        <w:rPr>
          <w:noProof/>
        </w:rPr>
        <w:t>6</w:t>
      </w:r>
      <w:r w:rsidR="000B12E3">
        <w:rPr>
          <w:noProof/>
        </w:rPr>
        <w:fldChar w:fldCharType="end"/>
      </w:r>
      <w:r>
        <w:t xml:space="preserve"> </w:t>
      </w:r>
      <w:r w:rsidR="00BC08A1">
        <w:t>Referencia (azul) y salida del sistema (amarillo) del controlador PI.</w:t>
      </w:r>
    </w:p>
    <w:p w14:paraId="748AA4BF" w14:textId="6232AC85" w:rsidR="00E20D8C" w:rsidRPr="00E20D8C" w:rsidRDefault="00E20D8C" w:rsidP="00E20D8C"/>
    <w:sectPr w:rsidR="00E20D8C" w:rsidRPr="00E20D8C" w:rsidSect="00AB2A74">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82C6D"/>
    <w:multiLevelType w:val="hybridMultilevel"/>
    <w:tmpl w:val="AB5EE1EC"/>
    <w:lvl w:ilvl="0" w:tplc="1FAC6FAC">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50"/>
    <w:rsid w:val="00043F14"/>
    <w:rsid w:val="000B12E3"/>
    <w:rsid w:val="0013304B"/>
    <w:rsid w:val="002F3B5C"/>
    <w:rsid w:val="00352731"/>
    <w:rsid w:val="004270BB"/>
    <w:rsid w:val="00434A6E"/>
    <w:rsid w:val="00471EB9"/>
    <w:rsid w:val="004A303B"/>
    <w:rsid w:val="004E2E60"/>
    <w:rsid w:val="005D5E04"/>
    <w:rsid w:val="005E3A14"/>
    <w:rsid w:val="007C2D9E"/>
    <w:rsid w:val="00845BF4"/>
    <w:rsid w:val="00874D24"/>
    <w:rsid w:val="0094519D"/>
    <w:rsid w:val="009935D9"/>
    <w:rsid w:val="0099540B"/>
    <w:rsid w:val="00AA6D1F"/>
    <w:rsid w:val="00AB2A74"/>
    <w:rsid w:val="00AD6717"/>
    <w:rsid w:val="00B8313F"/>
    <w:rsid w:val="00BC08A1"/>
    <w:rsid w:val="00C43811"/>
    <w:rsid w:val="00C45B63"/>
    <w:rsid w:val="00E20D8C"/>
    <w:rsid w:val="00EA036F"/>
    <w:rsid w:val="00EB2D50"/>
    <w:rsid w:val="00F11D34"/>
    <w:rsid w:val="00F45F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3BB7"/>
  <w15:chartTrackingRefBased/>
  <w15:docId w15:val="{D171C416-885E-46AF-BC68-2E34810B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60"/>
    <w:pPr>
      <w:jc w:val="both"/>
    </w:pPr>
    <w:rPr>
      <w:rFonts w:eastAsiaTheme="minorEastAsia"/>
    </w:rPr>
  </w:style>
  <w:style w:type="paragraph" w:styleId="Ttulo1">
    <w:name w:val="heading 1"/>
    <w:basedOn w:val="Normal"/>
    <w:next w:val="Normal"/>
    <w:link w:val="Ttulo1Car"/>
    <w:uiPriority w:val="9"/>
    <w:qFormat/>
    <w:rsid w:val="004E2E60"/>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Ttulo2">
    <w:name w:val="heading 2"/>
    <w:basedOn w:val="Normal"/>
    <w:next w:val="Normal"/>
    <w:link w:val="Ttulo2Car"/>
    <w:uiPriority w:val="9"/>
    <w:unhideWhenUsed/>
    <w:qFormat/>
    <w:rsid w:val="00352731"/>
    <w:pPr>
      <w:keepNext/>
      <w:keepLines/>
      <w:spacing w:before="40" w:after="0"/>
      <w:outlineLvl w:val="1"/>
    </w:pPr>
    <w:rPr>
      <w:rFonts w:asciiTheme="majorHAnsi" w:eastAsiaTheme="majorEastAsia" w:hAnsiTheme="majorHAnsi" w:cstheme="majorBidi"/>
      <w:color w:val="B3186D"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2E60"/>
    <w:rPr>
      <w:rFonts w:asciiTheme="majorHAnsi" w:eastAsiaTheme="majorEastAsia" w:hAnsiTheme="majorHAnsi" w:cstheme="majorBidi"/>
      <w:color w:val="B3186D" w:themeColor="accent1" w:themeShade="BF"/>
      <w:sz w:val="32"/>
      <w:szCs w:val="32"/>
    </w:rPr>
  </w:style>
  <w:style w:type="paragraph" w:styleId="Ttulo">
    <w:name w:val="Title"/>
    <w:basedOn w:val="Normal"/>
    <w:next w:val="Normal"/>
    <w:link w:val="TtuloCar"/>
    <w:uiPriority w:val="10"/>
    <w:qFormat/>
    <w:rsid w:val="004E2E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2E60"/>
    <w:rPr>
      <w:rFonts w:asciiTheme="majorHAnsi" w:eastAsiaTheme="majorEastAsia" w:hAnsiTheme="majorHAnsi" w:cstheme="majorBidi"/>
      <w:spacing w:val="-10"/>
      <w:kern w:val="28"/>
      <w:sz w:val="56"/>
      <w:szCs w:val="56"/>
    </w:rPr>
  </w:style>
  <w:style w:type="paragraph" w:styleId="Descripcin">
    <w:name w:val="caption"/>
    <w:basedOn w:val="Normal"/>
    <w:next w:val="Normal"/>
    <w:uiPriority w:val="35"/>
    <w:unhideWhenUsed/>
    <w:qFormat/>
    <w:rsid w:val="00EB2D50"/>
    <w:pPr>
      <w:spacing w:after="200" w:line="240" w:lineRule="auto"/>
    </w:pPr>
    <w:rPr>
      <w:i/>
      <w:iCs/>
      <w:color w:val="454551" w:themeColor="text2"/>
      <w:sz w:val="18"/>
      <w:szCs w:val="18"/>
    </w:rPr>
  </w:style>
  <w:style w:type="character" w:customStyle="1" w:styleId="Ttulo2Car">
    <w:name w:val="Título 2 Car"/>
    <w:basedOn w:val="Fuentedeprrafopredeter"/>
    <w:link w:val="Ttulo2"/>
    <w:uiPriority w:val="9"/>
    <w:rsid w:val="00352731"/>
    <w:rPr>
      <w:rFonts w:asciiTheme="majorHAnsi" w:eastAsiaTheme="majorEastAsia" w:hAnsiTheme="majorHAnsi" w:cstheme="majorBidi"/>
      <w:color w:val="B3186D" w:themeColor="accent1" w:themeShade="BF"/>
      <w:sz w:val="26"/>
      <w:szCs w:val="26"/>
    </w:rPr>
  </w:style>
  <w:style w:type="paragraph" w:styleId="Prrafodelista">
    <w:name w:val="List Paragraph"/>
    <w:basedOn w:val="Normal"/>
    <w:uiPriority w:val="34"/>
    <w:qFormat/>
    <w:rsid w:val="00C45B63"/>
    <w:pPr>
      <w:ind w:left="720"/>
      <w:contextualSpacing/>
    </w:pPr>
  </w:style>
  <w:style w:type="paragraph" w:styleId="Sinespaciado">
    <w:name w:val="No Spacing"/>
    <w:link w:val="SinespaciadoCar"/>
    <w:uiPriority w:val="1"/>
    <w:qFormat/>
    <w:rsid w:val="00AB2A7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B2A74"/>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Herramientas interactivas de simulación y control</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Pages>
  <Words>310</Words>
  <Characters>1711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de simulink</dc:title>
  <dc:subject/>
  <dc:creator>Arlet Acosta González</dc:creator>
  <cp:keywords/>
  <dc:description/>
  <cp:lastModifiedBy>Arlet Acosta González</cp:lastModifiedBy>
  <cp:revision>27</cp:revision>
  <cp:lastPrinted>2024-03-14T22:02:00Z</cp:lastPrinted>
  <dcterms:created xsi:type="dcterms:W3CDTF">2024-03-14T15:51:00Z</dcterms:created>
  <dcterms:modified xsi:type="dcterms:W3CDTF">2024-03-14T22:03:00Z</dcterms:modified>
</cp:coreProperties>
</file>