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Admitido al Máster Universitario en Sistemas Inteligentes (Universidad de Salamanca, España), con inicio el 28 de septiembre de 2026. Combina conocimiento técnico profundo en ingeniería, programación y aprendizaje automático con capacidad real de trabajar y explicar contenido técnico en los tres idiomas.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systems and networks engineer (Russian University of Transport, RUT MIIT, diploma with distinction), with additional training in predictive analytics and machine learning. Genuinely trilingual: native Spanish, C1 Russian (six years of full university instruction in Russian), and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системам и сетям телекоммуникаций (Российский университет транспорта, РУТ (МИИТ), диплом с отличием), с дополнительной подготовкой в области предиктивной аналитики и машинного обучения. Действительно трёхъязычный: испанский — родной, русский — C1 (шесть лет полного университетского обучения на русском языке),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Profesor de Español («Учитель испанского языка»)</w:t>
      </w:r>
      <w:r>
        <w:rPr>
          <w:i/>
          <w:iCs/>
          <w:color w:val="595959"/>
          <w:sz w:val="19"/>
          <w:szCs w:val="19"/>
        </w:rPr>
        <w:t xml:space="preserve">	Luch Znaniy, Rusia — 2022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300 horas de formación pedagógica, más 2 certificados de formación continua en metodología de enseñanza de idiomas (2023, 2025).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