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42363" w14:textId="77777777" w:rsidR="009C4476" w:rsidRPr="00A676D2" w:rsidRDefault="00000000">
      <w:pPr>
        <w:jc w:val="center"/>
        <w:rPr>
          <w:lang w:val="es-MX"/>
        </w:rPr>
      </w:pPr>
      <w:r w:rsidRPr="00A676D2">
        <w:rPr>
          <w:b/>
          <w:color w:val="1B7A60"/>
          <w:sz w:val="32"/>
          <w:lang w:val="es-MX"/>
        </w:rPr>
        <w:t>TYAKXA · ERP / CRM / SCM</w:t>
      </w:r>
    </w:p>
    <w:p w14:paraId="0BFE5786" w14:textId="77777777" w:rsidR="009C4476" w:rsidRPr="00A676D2" w:rsidRDefault="00000000">
      <w:pPr>
        <w:jc w:val="center"/>
        <w:rPr>
          <w:lang w:val="es-MX"/>
        </w:rPr>
      </w:pPr>
      <w:r w:rsidRPr="00A676D2">
        <w:rPr>
          <w:b/>
          <w:sz w:val="44"/>
          <w:lang w:val="es-MX"/>
        </w:rPr>
        <w:t>Bitácora del día</w:t>
      </w:r>
    </w:p>
    <w:p w14:paraId="6C0EF8EB" w14:textId="77777777" w:rsidR="009C4476" w:rsidRPr="00A676D2" w:rsidRDefault="00000000">
      <w:pPr>
        <w:jc w:val="center"/>
        <w:rPr>
          <w:lang w:val="es-MX"/>
        </w:rPr>
      </w:pPr>
      <w:r w:rsidRPr="00A676D2">
        <w:rPr>
          <w:b/>
          <w:lang w:val="es-MX"/>
        </w:rPr>
        <w:t>1 de septiembre de 2026</w:t>
      </w:r>
    </w:p>
    <w:p w14:paraId="15704443" w14:textId="77777777" w:rsidR="009C4476" w:rsidRPr="00A676D2" w:rsidRDefault="00000000">
      <w:pPr>
        <w:jc w:val="center"/>
        <w:rPr>
          <w:lang w:val="es-MX"/>
        </w:rPr>
      </w:pPr>
      <w:r w:rsidRPr="00A676D2">
        <w:rPr>
          <w:color w:val="64748B"/>
          <w:sz w:val="19"/>
          <w:lang w:val="es-MX"/>
        </w:rPr>
        <w:t>Repositorio: tyakxa_tny (rama initAngm) · submódulos: modules/pos, modules/restaurante</w:t>
      </w:r>
    </w:p>
    <w:p w14:paraId="0EF77F9B" w14:textId="77777777" w:rsidR="009C4476" w:rsidRPr="00A676D2" w:rsidRDefault="00000000">
      <w:pPr>
        <w:pStyle w:val="Ttulo1"/>
        <w:rPr>
          <w:lang w:val="es-MX"/>
        </w:rPr>
      </w:pPr>
      <w:r w:rsidRPr="00A676D2">
        <w:rPr>
          <w:lang w:val="es-MX"/>
        </w:rPr>
        <w:t>1. Resumen ejecutivo</w:t>
      </w:r>
    </w:p>
    <w:p w14:paraId="47E718CD" w14:textId="77777777" w:rsidR="009C4476" w:rsidRPr="00A676D2" w:rsidRDefault="00000000">
      <w:pPr>
        <w:rPr>
          <w:lang w:val="es-MX"/>
        </w:rPr>
      </w:pPr>
      <w:r w:rsidRPr="00A676D2">
        <w:rPr>
          <w:lang w:val="es-MX"/>
        </w:rPr>
        <w:t>El día tuvo un hilo conductor: quitar duplicados. El sistema tenía dos inventarios que no se hablaban, dos implementaciones distintas de CFDI y la configuración repartida en cuatro sitios de la pantalla. Los tres casos son la misma enfermedad: dos verdades sobre lo mismo, que tarde o temprano dejan de coincidir y nadie sabe cuál mirar.</w:t>
      </w:r>
    </w:p>
    <w:p w14:paraId="07AF52DB" w14:textId="77777777" w:rsidR="009C4476" w:rsidRPr="00A676D2" w:rsidRDefault="00000000">
      <w:pPr>
        <w:rPr>
          <w:lang w:val="es-MX"/>
        </w:rPr>
      </w:pPr>
      <w:r w:rsidRPr="00A676D2">
        <w:rPr>
          <w:lang w:val="es-MX"/>
        </w:rPr>
        <w:t>Al cierre: las ventas del punto de venta descuentan del almacén de TYAKXA (probado de punta a punta), el punto de venta ya no puede timbrar y la configuración vive en un solo apartado. Se completaron además las pantallas del POS que faltaban —caja y turno, catálogo con alta de productos y categorías, almacén, tablero y promociones—.</w:t>
      </w:r>
    </w:p>
    <w:p w14:paraId="6C0A61FD" w14:textId="77777777" w:rsidR="009C4476" w:rsidRDefault="00000000">
      <w:r w:rsidRPr="00A676D2">
        <w:rPr>
          <w:lang w:val="es-MX"/>
        </w:rPr>
        <w:t xml:space="preserve">Aparecieron tres hallazgos que no se buscaban, uno de ellos serio: dos migraciones registradas como aplicadas no podían ejecutarse, de modo que una base de datos nueva no arrancaba. </w:t>
      </w:r>
      <w:r>
        <w:t>Está corregido. El detalle está en la sección 3.</w:t>
      </w:r>
    </w:p>
    <w:p w14:paraId="655E1D38" w14:textId="77777777" w:rsidR="009C4476" w:rsidRDefault="00000000">
      <w:pPr>
        <w:pStyle w:val="Ttulo1"/>
      </w:pPr>
      <w:r>
        <w:t>2. Qué se hizo hoy</w:t>
      </w:r>
    </w:p>
    <w:p w14:paraId="6693E65A" w14:textId="77777777" w:rsidR="009C4476" w:rsidRDefault="00000000">
      <w:pPr>
        <w:pStyle w:val="Ttulo2"/>
      </w:pPr>
      <w:r>
        <w:t>2.1 Un solo inventario</w:t>
      </w:r>
    </w:p>
    <w:p w14:paraId="52F8F1F2" w14:textId="77777777" w:rsidR="009C4476" w:rsidRDefault="00000000">
      <w:r>
        <w:t>El punto de venta corre contra su propia base de datos, así que no puede compartir tabla. Lo que comparte ahora es el saldo: cada venta escribe su movimiento en el libro del núcleo con origen «pos».</w:t>
      </w:r>
    </w:p>
    <w:p w14:paraId="3366B64B" w14:textId="77777777" w:rsidR="009C4476" w:rsidRDefault="00000000">
      <w:pPr>
        <w:pStyle w:val="Prrafodelista"/>
        <w:ind w:left="360"/>
      </w:pPr>
      <w:r>
        <w:rPr>
          <w:b/>
        </w:rPr>
        <w:t xml:space="preserve">Espejo de catálogo. </w:t>
      </w:r>
      <w:r>
        <w:t>Servicio nuevo que da de alta en el almacén único los productos del POS que aún no tienen contraparte, con su saldo de apertura. Se hizo servicio y no script de una vez porque el POS da de alta productos y volverían a quedar sueltos.</w:t>
      </w:r>
    </w:p>
    <w:p w14:paraId="066C2BDF" w14:textId="77777777" w:rsidR="009C4476" w:rsidRDefault="00000000">
      <w:pPr>
        <w:pStyle w:val="Prrafodelista"/>
        <w:ind w:left="360"/>
      </w:pPr>
      <w:r>
        <w:rPr>
          <w:b/>
        </w:rPr>
        <w:t xml:space="preserve">13 de 13 productos enlazados. </w:t>
      </w:r>
      <w:r>
        <w:t>Antes solo 1. Los otros 12 se vendían sin descontar de nada.</w:t>
      </w:r>
    </w:p>
    <w:p w14:paraId="7EDBCE91" w14:textId="77777777" w:rsidR="009C4476" w:rsidRDefault="00000000">
      <w:pPr>
        <w:pStyle w:val="Prrafodelista"/>
        <w:ind w:left="360"/>
      </w:pPr>
      <w:r>
        <w:rPr>
          <w:b/>
        </w:rPr>
        <w:t xml:space="preserve">Probado de punta a punta. </w:t>
      </w:r>
      <w:r>
        <w:t>Una venta de 3 piezas por el puente bajó el saldo del núcleo de 72 a 69. No es una prueba unitaria: es la operación real.</w:t>
      </w:r>
    </w:p>
    <w:p w14:paraId="51909898" w14:textId="77777777" w:rsidR="009C4476" w:rsidRDefault="00000000">
      <w:pPr>
        <w:pStyle w:val="Prrafodelista"/>
        <w:ind w:left="360"/>
      </w:pPr>
      <w:r>
        <w:rPr>
          <w:b/>
        </w:rPr>
        <w:t xml:space="preserve">Lo que el espejo NO hace. </w:t>
      </w:r>
      <w:r>
        <w:t>No pisa la existencia de un producto que ya existía. Si el POS y el núcleo difieren, lo reporta como descuadre para que alguien decida cuál es el bueno, en vez de taparlo copiando una cifra encima.</w:t>
      </w:r>
    </w:p>
    <w:p w14:paraId="333AEC3E" w14:textId="77777777" w:rsidR="009C4476" w:rsidRDefault="00000000">
      <w:pPr>
        <w:pStyle w:val="Prrafodelista"/>
        <w:ind w:left="360"/>
      </w:pPr>
      <w:r>
        <w:rPr>
          <w:b/>
        </w:rPr>
        <w:t xml:space="preserve">Ubicación propia. </w:t>
      </w:r>
      <w:r>
        <w:t>Se creó «Punto de venta - mostrador» en el núcleo, para poder preguntar cuánto hay en mostrador sin restar de memoria.</w:t>
      </w:r>
    </w:p>
    <w:p w14:paraId="7685C503" w14:textId="77777777" w:rsidR="009C4476" w:rsidRDefault="00000000">
      <w:pPr>
        <w:pStyle w:val="Ttulo2"/>
      </w:pPr>
      <w:r>
        <w:lastRenderedPageBreak/>
        <w:t>2.2 Un solo módulo de facturación</w:t>
      </w:r>
    </w:p>
    <w:p w14:paraId="04E3F0AA" w14:textId="77777777" w:rsidR="009C4476" w:rsidRDefault="00000000">
      <w:r>
        <w:t>El punto de venta traía su propia pila de CFDI: cliente de Facturama, catálogos del SAT, generador de XML, generador de PDF y tres pantallas. TYAKXA tiene la suya. Mantener dos significa mantener dos veces los catálogos del SAT y descubrir en la primera auditoría que no coinciden.</w:t>
      </w:r>
    </w:p>
    <w:p w14:paraId="379464E1" w14:textId="77777777" w:rsidR="009C4476" w:rsidRDefault="00000000">
      <w:pPr>
        <w:pStyle w:val="Prrafodelista"/>
        <w:ind w:left="360"/>
      </w:pPr>
      <w:r>
        <w:rPr>
          <w:b/>
        </w:rPr>
        <w:t xml:space="preserve">2 653 líneas retiradas </w:t>
      </w:r>
      <w:r>
        <w:t xml:space="preserve"> del punto de venta: API, servicios, modelos, esquemas, permisos y pantallas.</w:t>
      </w:r>
    </w:p>
    <w:p w14:paraId="52EECB47" w14:textId="77777777" w:rsidR="009C4476" w:rsidRDefault="00000000">
      <w:pPr>
        <w:pStyle w:val="Prrafodelista"/>
        <w:ind w:left="360"/>
      </w:pPr>
      <w:r>
        <w:rPr>
          <w:b/>
        </w:rPr>
        <w:t xml:space="preserve">Los comprobantes se conservan. </w:t>
      </w:r>
      <w:r>
        <w:t>Las tablas quedan marcadas como retiradas, no borradas. Son cuatro, todas con pac_provider «mock» y el XML marcado «CFDI SIMULADO: SIN VALIDEZ FISCAL», pero un comprobante emitido no se tira porque el código que lo creó ya no exista.</w:t>
      </w:r>
    </w:p>
    <w:p w14:paraId="2DF93DD5" w14:textId="77777777" w:rsidR="009C4476" w:rsidRDefault="00000000">
      <w:pPr>
        <w:pStyle w:val="Prrafodelista"/>
        <w:ind w:left="360"/>
      </w:pPr>
      <w:r>
        <w:rPr>
          <w:b/>
        </w:rPr>
        <w:t xml:space="preserve">Permisos retirados. </w:t>
      </w:r>
      <w:r>
        <w:t>invoicing.view / create / manage se eliminaron: mientras existan, alguien los concede pensando que sirven para algo.</w:t>
      </w:r>
    </w:p>
    <w:p w14:paraId="4DC5E274" w14:textId="77777777" w:rsidR="009C4476" w:rsidRDefault="00000000">
      <w:pPr>
        <w:pStyle w:val="Prrafodelista"/>
        <w:ind w:left="360"/>
      </w:pPr>
      <w:r>
        <w:rPr>
          <w:b/>
        </w:rPr>
        <w:t xml:space="preserve">El puente ya no reenvía facturación. </w:t>
      </w:r>
      <w:r>
        <w:t>La ruta se quitó de la lista blanca para que no reenvíe a un 404 del POS, que parecería un fallo del puente y no una decisión.</w:t>
      </w:r>
    </w:p>
    <w:p w14:paraId="3B8D6052" w14:textId="77777777" w:rsidR="009C4476" w:rsidRDefault="00000000">
      <w:pPr>
        <w:pStyle w:val="Prrafodelista"/>
        <w:ind w:left="360"/>
      </w:pPr>
      <w:r>
        <w:rPr>
          <w:b/>
        </w:rPr>
        <w:t xml:space="preserve">Restaurante y logística: </w:t>
      </w:r>
      <w:r>
        <w:t>el restaurante ya tenía su facturación retirada; logística nunca tuvo una propia —usa el modelo Invoice del núcleo—. No había nada que quitar ahí.</w:t>
      </w:r>
    </w:p>
    <w:p w14:paraId="39B4FE02" w14:textId="77777777" w:rsidR="009C4476" w:rsidRDefault="00000000">
      <w:pPr>
        <w:pStyle w:val="Ttulo2"/>
      </w:pPr>
      <w:r>
        <w:t>2.3 Un solo apartado de configuración</w:t>
      </w:r>
    </w:p>
    <w:p w14:paraId="6F8172DB" w14:textId="77777777" w:rsidR="009C4476" w:rsidRDefault="00000000">
      <w:r>
        <w:t>La configuración estaba en cuatro sitios: el grupo «Configuracion», el grupo «Seguridad», un menú de engrane en el encabezado y un renglón suelto de «Configurar MFA» clavado arriba del menú.</w:t>
      </w:r>
    </w:p>
    <w:p w14:paraId="54203D7C" w14:textId="77777777" w:rsidR="009C4476" w:rsidRDefault="00000000">
      <w:pPr>
        <w:pStyle w:val="Prrafodelista"/>
        <w:ind w:left="360"/>
      </w:pPr>
      <w:r>
        <w:rPr>
          <w:b/>
        </w:rPr>
        <w:t xml:space="preserve">El engrane se retiró. </w:t>
      </w:r>
      <w:r>
        <w:t>Lo sostenía una sola entrada —la conexión al dispositivo Kronos, que es el reloj checador— y para casi todos los usuarios estaba vacío. Esa entrada se mandó a Recursos humanos, que es donde pertenece.</w:t>
      </w:r>
    </w:p>
    <w:p w14:paraId="73E396AF" w14:textId="77777777" w:rsidR="009C4476" w:rsidRDefault="00000000">
      <w:pPr>
        <w:pStyle w:val="Prrafodelista"/>
        <w:ind w:left="360"/>
      </w:pPr>
      <w:r>
        <w:rPr>
          <w:b/>
        </w:rPr>
        <w:t xml:space="preserve">Seguridad se pinta dentro de Configuración, </w:t>
      </w:r>
      <w:r>
        <w:t>pero sigue siendo un módulo aparte para conceder acceso. Fusionarlos a nivel de permisos habría dado usuarios y perfiles a cualquier rol con configuración, que son casi todos porque necesitan leer catálogos.</w:t>
      </w:r>
    </w:p>
    <w:p w14:paraId="7D18B334" w14:textId="77777777" w:rsidR="009C4476" w:rsidRDefault="00000000">
      <w:pPr>
        <w:pStyle w:val="Prrafodelista"/>
        <w:ind w:left="360"/>
      </w:pPr>
      <w:r>
        <w:rPr>
          <w:b/>
        </w:rPr>
        <w:t xml:space="preserve">Gestor de roles y Perfiles pasaron a la barra superior </w:t>
      </w:r>
      <w:r>
        <w:t xml:space="preserve"> como botones, según lo pedido, y se sacaron del menú lateral para que no queden en dos sitios.</w:t>
      </w:r>
    </w:p>
    <w:p w14:paraId="379FC701" w14:textId="77777777" w:rsidR="009C4476" w:rsidRDefault="00000000">
      <w:pPr>
        <w:pStyle w:val="Ttulo2"/>
      </w:pPr>
      <w:r>
        <w:t>2.4 Pantallas del punto de venta</w:t>
      </w:r>
    </w:p>
    <w:tbl>
      <w:tblPr>
        <w:tblStyle w:val="Cuadrculaclara-nfasis1"/>
        <w:tblW w:w="0" w:type="auto"/>
        <w:tblLook w:val="04A0" w:firstRow="1" w:lastRow="0" w:firstColumn="1" w:lastColumn="0" w:noHBand="0" w:noVBand="1"/>
      </w:tblPr>
      <w:tblGrid>
        <w:gridCol w:w="2880"/>
        <w:gridCol w:w="2880"/>
        <w:gridCol w:w="2880"/>
      </w:tblGrid>
      <w:tr w:rsidR="009C4476" w14:paraId="14A649F6" w14:textId="77777777" w:rsidTr="009C44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A2479C" w14:textId="77777777" w:rsidR="009C4476" w:rsidRDefault="00000000">
            <w:r>
              <w:rPr>
                <w:sz w:val="19"/>
              </w:rPr>
              <w:t>Pantalla</w:t>
            </w:r>
          </w:p>
        </w:tc>
        <w:tc>
          <w:tcPr>
            <w:tcW w:w="2880" w:type="dxa"/>
          </w:tcPr>
          <w:p w14:paraId="77A1E1C4" w14:textId="77777777" w:rsidR="009C4476" w:rsidRDefault="00000000">
            <w:pPr>
              <w:cnfStyle w:val="100000000000" w:firstRow="1" w:lastRow="0" w:firstColumn="0" w:lastColumn="0" w:oddVBand="0" w:evenVBand="0" w:oddHBand="0" w:evenHBand="0" w:firstRowFirstColumn="0" w:firstRowLastColumn="0" w:lastRowFirstColumn="0" w:lastRowLastColumn="0"/>
            </w:pPr>
            <w:r>
              <w:rPr>
                <w:sz w:val="19"/>
              </w:rPr>
              <w:t>Qué resuelve</w:t>
            </w:r>
          </w:p>
        </w:tc>
        <w:tc>
          <w:tcPr>
            <w:tcW w:w="2880" w:type="dxa"/>
          </w:tcPr>
          <w:p w14:paraId="185F21F4" w14:textId="77777777" w:rsidR="009C4476" w:rsidRDefault="00000000">
            <w:pPr>
              <w:cnfStyle w:val="100000000000" w:firstRow="1" w:lastRow="0" w:firstColumn="0" w:lastColumn="0" w:oddVBand="0" w:evenVBand="0" w:oddHBand="0" w:evenHBand="0" w:firstRowFirstColumn="0" w:firstRowLastColumn="0" w:lastRowFirstColumn="0" w:lastRowLastColumn="0"/>
            </w:pPr>
            <w:r>
              <w:rPr>
                <w:sz w:val="19"/>
              </w:rPr>
              <w:t>Quién entra</w:t>
            </w:r>
          </w:p>
        </w:tc>
      </w:tr>
      <w:tr w:rsidR="009C4476" w14:paraId="7125CFBB" w14:textId="77777777" w:rsidTr="009C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01E4F" w14:textId="77777777" w:rsidR="009C4476" w:rsidRDefault="00000000">
            <w:r>
              <w:rPr>
                <w:sz w:val="19"/>
              </w:rPr>
              <w:t>Caja</w:t>
            </w:r>
          </w:p>
        </w:tc>
        <w:tc>
          <w:tcPr>
            <w:tcW w:w="2880" w:type="dxa"/>
          </w:tcPr>
          <w:p w14:paraId="4A47A287" w14:textId="77777777" w:rsidR="009C4476" w:rsidRDefault="00000000">
            <w:pPr>
              <w:cnfStyle w:val="000000100000" w:firstRow="0" w:lastRow="0" w:firstColumn="0" w:lastColumn="0" w:oddVBand="0" w:evenVBand="0" w:oddHBand="1" w:evenHBand="0" w:firstRowFirstColumn="0" w:firstRowLastColumn="0" w:lastRowFirstColumn="0" w:lastRowLastColumn="0"/>
            </w:pPr>
            <w:r>
              <w:rPr>
                <w:sz w:val="19"/>
              </w:rPr>
              <w:t>Cobrar</w:t>
            </w:r>
          </w:p>
        </w:tc>
        <w:tc>
          <w:tcPr>
            <w:tcW w:w="2880" w:type="dxa"/>
          </w:tcPr>
          <w:p w14:paraId="3932E91D" w14:textId="77777777" w:rsidR="009C4476" w:rsidRDefault="00000000">
            <w:pPr>
              <w:cnfStyle w:val="000000100000" w:firstRow="0" w:lastRow="0" w:firstColumn="0" w:lastColumn="0" w:oddVBand="0" w:evenVBand="0" w:oddHBand="1" w:evenHBand="0" w:firstRowFirstColumn="0" w:firstRowLastColumn="0" w:lastRowFirstColumn="0" w:lastRowLastColumn="0"/>
            </w:pPr>
            <w:r>
              <w:rPr>
                <w:sz w:val="19"/>
              </w:rPr>
              <w:t>pos_terminal</w:t>
            </w:r>
          </w:p>
        </w:tc>
      </w:tr>
      <w:tr w:rsidR="009C4476" w14:paraId="31CAF470" w14:textId="77777777" w:rsidTr="009C44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9F1CBD" w14:textId="77777777" w:rsidR="009C4476" w:rsidRDefault="00000000">
            <w:r>
              <w:rPr>
                <w:sz w:val="19"/>
              </w:rPr>
              <w:t>Turno</w:t>
            </w:r>
          </w:p>
        </w:tc>
        <w:tc>
          <w:tcPr>
            <w:tcW w:w="2880" w:type="dxa"/>
          </w:tcPr>
          <w:p w14:paraId="3D1E5667" w14:textId="77777777" w:rsidR="009C4476" w:rsidRDefault="00000000">
            <w:pPr>
              <w:cnfStyle w:val="000000010000" w:firstRow="0" w:lastRow="0" w:firstColumn="0" w:lastColumn="0" w:oddVBand="0" w:evenVBand="0" w:oddHBand="0" w:evenHBand="1" w:firstRowFirstColumn="0" w:firstRowLastColumn="0" w:lastRowFirstColumn="0" w:lastRowLastColumn="0"/>
            </w:pPr>
            <w:r>
              <w:rPr>
                <w:sz w:val="19"/>
              </w:rPr>
              <w:t>Apertura, retiros y corte X/Z</w:t>
            </w:r>
          </w:p>
        </w:tc>
        <w:tc>
          <w:tcPr>
            <w:tcW w:w="2880" w:type="dxa"/>
          </w:tcPr>
          <w:p w14:paraId="4FE57BCB" w14:textId="77777777" w:rsidR="009C4476" w:rsidRDefault="00000000">
            <w:pPr>
              <w:cnfStyle w:val="000000010000" w:firstRow="0" w:lastRow="0" w:firstColumn="0" w:lastColumn="0" w:oddVBand="0" w:evenVBand="0" w:oddHBand="0" w:evenHBand="1" w:firstRowFirstColumn="0" w:firstRowLastColumn="0" w:lastRowFirstColumn="0" w:lastRowLastColumn="0"/>
            </w:pPr>
            <w:r>
              <w:rPr>
                <w:sz w:val="19"/>
              </w:rPr>
              <w:t>pos_terminal</w:t>
            </w:r>
          </w:p>
        </w:tc>
      </w:tr>
      <w:tr w:rsidR="009C4476" w14:paraId="4FECA86C" w14:textId="77777777" w:rsidTr="009C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10306C" w14:textId="77777777" w:rsidR="009C4476" w:rsidRDefault="00000000">
            <w:r>
              <w:rPr>
                <w:sz w:val="19"/>
              </w:rPr>
              <w:t>Catálogo</w:t>
            </w:r>
          </w:p>
        </w:tc>
        <w:tc>
          <w:tcPr>
            <w:tcW w:w="2880" w:type="dxa"/>
          </w:tcPr>
          <w:p w14:paraId="521E80DD" w14:textId="77777777" w:rsidR="009C4476" w:rsidRDefault="00000000">
            <w:pPr>
              <w:cnfStyle w:val="000000100000" w:firstRow="0" w:lastRow="0" w:firstColumn="0" w:lastColumn="0" w:oddVBand="0" w:evenVBand="0" w:oddHBand="1" w:evenHBand="0" w:firstRowFirstColumn="0" w:firstRowLastColumn="0" w:lastRowFirstColumn="0" w:lastRowLastColumn="0"/>
            </w:pPr>
            <w:r>
              <w:rPr>
                <w:sz w:val="19"/>
              </w:rPr>
              <w:t>Ver, buscar y dar de alta productos y categorías</w:t>
            </w:r>
          </w:p>
        </w:tc>
        <w:tc>
          <w:tcPr>
            <w:tcW w:w="2880" w:type="dxa"/>
          </w:tcPr>
          <w:p w14:paraId="7742921F" w14:textId="77777777" w:rsidR="009C4476" w:rsidRDefault="00000000">
            <w:pPr>
              <w:cnfStyle w:val="000000100000" w:firstRow="0" w:lastRow="0" w:firstColumn="0" w:lastColumn="0" w:oddVBand="0" w:evenVBand="0" w:oddHBand="1" w:evenHBand="0" w:firstRowFirstColumn="0" w:firstRowLastColumn="0" w:lastRowFirstColumn="0" w:lastRowLastColumn="0"/>
            </w:pPr>
            <w:r>
              <w:rPr>
                <w:sz w:val="19"/>
              </w:rPr>
              <w:t>pos_terminal</w:t>
            </w:r>
          </w:p>
        </w:tc>
      </w:tr>
      <w:tr w:rsidR="009C4476" w14:paraId="01C5AB5F" w14:textId="77777777" w:rsidTr="009C44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060622" w14:textId="77777777" w:rsidR="009C4476" w:rsidRDefault="00000000">
            <w:r>
              <w:rPr>
                <w:sz w:val="19"/>
              </w:rPr>
              <w:t>Almacén</w:t>
            </w:r>
          </w:p>
        </w:tc>
        <w:tc>
          <w:tcPr>
            <w:tcW w:w="2880" w:type="dxa"/>
          </w:tcPr>
          <w:p w14:paraId="13262A75" w14:textId="77777777" w:rsidR="009C4476" w:rsidRDefault="00000000">
            <w:pPr>
              <w:cnfStyle w:val="000000010000" w:firstRow="0" w:lastRow="0" w:firstColumn="0" w:lastColumn="0" w:oddVBand="0" w:evenVBand="0" w:oddHBand="0" w:evenHBand="1" w:firstRowFirstColumn="0" w:firstRowLastColumn="0" w:lastRowFirstColumn="0" w:lastRowLastColumn="0"/>
            </w:pPr>
            <w:r>
              <w:rPr>
                <w:sz w:val="19"/>
              </w:rPr>
              <w:t>Existencias, faltantes y sincronizar con TYAKXA</w:t>
            </w:r>
          </w:p>
        </w:tc>
        <w:tc>
          <w:tcPr>
            <w:tcW w:w="2880" w:type="dxa"/>
          </w:tcPr>
          <w:p w14:paraId="3A3797C1" w14:textId="77777777" w:rsidR="009C4476" w:rsidRDefault="00000000">
            <w:pPr>
              <w:cnfStyle w:val="000000010000" w:firstRow="0" w:lastRow="0" w:firstColumn="0" w:lastColumn="0" w:oddVBand="0" w:evenVBand="0" w:oddHBand="0" w:evenHBand="1" w:firstRowFirstColumn="0" w:firstRowLastColumn="0" w:lastRowFirstColumn="0" w:lastRowLastColumn="0"/>
            </w:pPr>
            <w:r>
              <w:rPr>
                <w:sz w:val="19"/>
              </w:rPr>
              <w:t>pos_admin</w:t>
            </w:r>
          </w:p>
        </w:tc>
      </w:tr>
      <w:tr w:rsidR="009C4476" w14:paraId="2BB64A7D" w14:textId="77777777" w:rsidTr="009C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4C1057" w14:textId="77777777" w:rsidR="009C4476" w:rsidRDefault="00000000">
            <w:r>
              <w:rPr>
                <w:sz w:val="19"/>
              </w:rPr>
              <w:t>Tablero</w:t>
            </w:r>
          </w:p>
        </w:tc>
        <w:tc>
          <w:tcPr>
            <w:tcW w:w="2880" w:type="dxa"/>
          </w:tcPr>
          <w:p w14:paraId="5C1B8F41" w14:textId="77777777" w:rsidR="009C4476" w:rsidRDefault="00000000">
            <w:pPr>
              <w:cnfStyle w:val="000000100000" w:firstRow="0" w:lastRow="0" w:firstColumn="0" w:lastColumn="0" w:oddVBand="0" w:evenVBand="0" w:oddHBand="1" w:evenHBand="0" w:firstRowFirstColumn="0" w:firstRowLastColumn="0" w:lastRowFirstColumn="0" w:lastRowLastColumn="0"/>
            </w:pPr>
            <w:r>
              <w:rPr>
                <w:sz w:val="19"/>
              </w:rPr>
              <w:t>Ingresos del día y desgloses históricos</w:t>
            </w:r>
          </w:p>
        </w:tc>
        <w:tc>
          <w:tcPr>
            <w:tcW w:w="2880" w:type="dxa"/>
          </w:tcPr>
          <w:p w14:paraId="2853A38E" w14:textId="77777777" w:rsidR="009C4476" w:rsidRDefault="00000000">
            <w:pPr>
              <w:cnfStyle w:val="000000100000" w:firstRow="0" w:lastRow="0" w:firstColumn="0" w:lastColumn="0" w:oddVBand="0" w:evenVBand="0" w:oddHBand="1" w:evenHBand="0" w:firstRowFirstColumn="0" w:firstRowLastColumn="0" w:lastRowFirstColumn="0" w:lastRowLastColumn="0"/>
            </w:pPr>
            <w:r>
              <w:rPr>
                <w:sz w:val="19"/>
              </w:rPr>
              <w:t>pos_admin</w:t>
            </w:r>
          </w:p>
        </w:tc>
      </w:tr>
      <w:tr w:rsidR="009C4476" w14:paraId="5909E00D" w14:textId="77777777" w:rsidTr="009C44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547754" w14:textId="77777777" w:rsidR="009C4476" w:rsidRDefault="00000000">
            <w:r>
              <w:rPr>
                <w:sz w:val="19"/>
              </w:rPr>
              <w:t>Promociones</w:t>
            </w:r>
          </w:p>
        </w:tc>
        <w:tc>
          <w:tcPr>
            <w:tcW w:w="2880" w:type="dxa"/>
          </w:tcPr>
          <w:p w14:paraId="427283CB" w14:textId="77777777" w:rsidR="009C4476" w:rsidRDefault="00000000">
            <w:pPr>
              <w:cnfStyle w:val="000000010000" w:firstRow="0" w:lastRow="0" w:firstColumn="0" w:lastColumn="0" w:oddVBand="0" w:evenVBand="0" w:oddHBand="0" w:evenHBand="1" w:firstRowFirstColumn="0" w:firstRowLastColumn="0" w:lastRowFirstColumn="0" w:lastRowLastColumn="0"/>
            </w:pPr>
            <w:r>
              <w:rPr>
                <w:sz w:val="19"/>
              </w:rPr>
              <w:t>Reglas que descuentan solas, y sus usos</w:t>
            </w:r>
          </w:p>
        </w:tc>
        <w:tc>
          <w:tcPr>
            <w:tcW w:w="2880" w:type="dxa"/>
          </w:tcPr>
          <w:p w14:paraId="3E36D804" w14:textId="77777777" w:rsidR="009C4476" w:rsidRDefault="00000000">
            <w:pPr>
              <w:cnfStyle w:val="000000010000" w:firstRow="0" w:lastRow="0" w:firstColumn="0" w:lastColumn="0" w:oddVBand="0" w:evenVBand="0" w:oddHBand="0" w:evenHBand="1" w:firstRowFirstColumn="0" w:firstRowLastColumn="0" w:lastRowFirstColumn="0" w:lastRowLastColumn="0"/>
            </w:pPr>
            <w:r>
              <w:rPr>
                <w:sz w:val="19"/>
              </w:rPr>
              <w:t>pos_admin</w:t>
            </w:r>
          </w:p>
        </w:tc>
      </w:tr>
    </w:tbl>
    <w:p w14:paraId="6AE54151" w14:textId="77777777" w:rsidR="009C4476" w:rsidRDefault="009C4476"/>
    <w:p w14:paraId="78079E28" w14:textId="77777777" w:rsidR="009C4476" w:rsidRDefault="00000000">
      <w:r>
        <w:t>Tres decisiones de diseño que conviene conocer:</w:t>
      </w:r>
    </w:p>
    <w:p w14:paraId="574B6DB9" w14:textId="77777777" w:rsidR="009C4476" w:rsidRDefault="00000000">
      <w:pPr>
        <w:pStyle w:val="Prrafodelista"/>
        <w:ind w:left="360"/>
      </w:pPr>
      <w:r>
        <w:rPr>
          <w:b/>
        </w:rPr>
        <w:lastRenderedPageBreak/>
        <w:t xml:space="preserve">El corte se declara a ciegas. </w:t>
      </w:r>
      <w:r>
        <w:t>La pantalla no dice cuánto debería haber en el cajón; se declara lo contado y la diferencia aparece después. Si mostrara el esperado antes, la declaración dejaría de ser un conteo y pasaría a ser una confirmación, que es como un faltante se vuelve invisible.</w:t>
      </w:r>
    </w:p>
    <w:p w14:paraId="03BD4287" w14:textId="77777777" w:rsidR="009C4476" w:rsidRDefault="00000000">
      <w:pPr>
        <w:pStyle w:val="Prrafodelista"/>
        <w:ind w:left="360"/>
      </w:pPr>
      <w:r>
        <w:rPr>
          <w:b/>
        </w:rPr>
        <w:t xml:space="preserve">El corte X y el Z van separados y con nombre distinto. </w:t>
      </w:r>
      <w:r>
        <w:t>El X revisa a media jornada y no cierra; confundirlos deja la caja cerrada a medio turno.</w:t>
      </w:r>
    </w:p>
    <w:p w14:paraId="0EADF33D" w14:textId="77777777" w:rsidR="009C4476" w:rsidRDefault="00000000">
      <w:pPr>
        <w:pStyle w:val="Prrafodelista"/>
        <w:ind w:left="360"/>
      </w:pPr>
      <w:r>
        <w:rPr>
          <w:b/>
        </w:rPr>
        <w:t xml:space="preserve">El catálogo dice si cada producto descuenta del almacén o no. </w:t>
      </w:r>
      <w:r>
        <w:t>Un producto sin enlace se vende sin descontar, y sin verlo ahí el descuadre solo aparece al contar el estante.</w:t>
      </w:r>
    </w:p>
    <w:p w14:paraId="4259157F" w14:textId="77777777" w:rsidR="009C4476" w:rsidRDefault="00000000">
      <w:pPr>
        <w:pStyle w:val="Ttulo2"/>
      </w:pPr>
      <w:r>
        <w:t>2.5 Iconos del menú</w:t>
      </w:r>
    </w:p>
    <w:p w14:paraId="6E9A74A9" w14:textId="77777777" w:rsidR="009C4476" w:rsidRDefault="00000000">
      <w:r>
        <w:t>El menú mostraba el mismo icono de deslizadores en casi todos los grupos. La causa: de los once nombres de icono que manda la base de datos —crm, billing, inventory, pos, hr, operations, restaurant, security…— el frente solo tenía registrados dos. Lo que no está registrado cae en el icono por omisión, y cae en silencio. Se registraron todos, se normalizó a un icono por grupo con una migración, y ahora también se pintan con el menú abierto, no solo colapsado.</w:t>
      </w:r>
    </w:p>
    <w:p w14:paraId="367A7B32" w14:textId="77777777" w:rsidR="009C4476" w:rsidRDefault="00000000">
      <w:pPr>
        <w:pStyle w:val="Ttulo1"/>
      </w:pPr>
      <w:r>
        <w:t>3. Hallazgos de hoy</w:t>
      </w:r>
    </w:p>
    <w:p w14:paraId="13D4F420" w14:textId="77777777" w:rsidR="009C4476" w:rsidRDefault="00000000">
      <w:pPr>
        <w:pStyle w:val="Ttulo2"/>
      </w:pPr>
      <w:r>
        <w:t>3.1 Una base de datos nueva no arrancaba (grave)</w:t>
      </w:r>
    </w:p>
    <w:p w14:paraId="6BA6239F" w14:textId="77777777" w:rsidR="009C4476" w:rsidRDefault="00000000">
      <w:r>
        <w:t>Dos migraciones registradas como aplicadas no podían ejecutarse. El aplicador manda el archivo completo al driver de Postgres, que busca marcadores de parámetro en todo el texto sin distinguir código de comentario: un solo signo de porcentaje sin duplicar hace fallar la migración con el mensaje «immutabledict is not a sequence», que no menciona el porcentaje por ningún lado.</w:t>
      </w:r>
    </w:p>
    <w:p w14:paraId="5FB18D36" w14:textId="77777777" w:rsidR="009C4476" w:rsidRDefault="00000000">
      <w:r>
        <w:t>Como el arranque se detiene si una migración falla —y hace bien—, un entorno nuevo nunca llegaba a levantar el servidor. En el entorno actual no se notaba porque esas dos ya figuraban como aplicadas.</w:t>
      </w:r>
    </w:p>
    <w:p w14:paraId="39833399" w14:textId="77777777" w:rsidR="009C4476" w:rsidRDefault="00000000">
      <w:r>
        <w:t>Se comprobó caso por caso contra el driver real: un LIKE con comodín, un RAISE NOTICE dentro de un bloque DO y un porcentaje suelto en un comentario fallan los tres; duplicado no falla. Se corrigieron duplicando el signo, que produce exactamente el mismo SQL en Postgres, y se realineó su huella registrada. Se añadió una prueba que recorre las 50 migraciones y falla si aparece un porcentaje sin duplicar.</w:t>
      </w:r>
    </w:p>
    <w:p w14:paraId="795F4C65" w14:textId="77777777" w:rsidR="009C4476" w:rsidRDefault="00000000">
      <w:pPr>
        <w:pStyle w:val="Ttulo2"/>
      </w:pPr>
      <w:r>
        <w:t>3.2 Dos copias del punto de venta en la misma máquina</w:t>
      </w:r>
    </w:p>
    <w:p w14:paraId="5802BA66" w14:textId="77777777" w:rsidR="009C4476" w:rsidRDefault="00000000">
      <w:r>
        <w:t>Existen dos clones del POS, ambos en el mismo commit: uno en C:\Users\TDW3\pos-enterprise (remoto demo_pos, rama main) y otro como submódulo del proyecto (remoto POS.git, rama initAngm). El contenedor monta el primero.</w:t>
      </w:r>
    </w:p>
    <w:p w14:paraId="7BB5B0B2" w14:textId="77777777" w:rsidR="009C4476" w:rsidRDefault="00000000">
      <w:r>
        <w:t>Las primeras ediciones para retirar la facturación se hicieron sobre el submódulo, que no es el que corre, y la comprobación inicial de que «ya no responde» era falsa: se probó una ruta equivocada. Al usar el prefijo real (/api/v1) el POS seguía sirviendo su facturación. Se aplicó entonces la misma eliminación sobre la copia en ejecución y se verificó de nuevo: 404 en facturación, 401 en productos —o sea, existe y pide credenciales—.</w:t>
      </w:r>
    </w:p>
    <w:p w14:paraId="04488E1C" w14:textId="77777777" w:rsidR="009C4476" w:rsidRDefault="00000000">
      <w:r>
        <w:lastRenderedPageBreak/>
        <w:t>Dos copias del mismo servicio es la misma enfermedad que dos inventarios. Consolidar mueve volúmenes de base de datos, así que queda como decisión pendiente (sección 4).</w:t>
      </w:r>
    </w:p>
    <w:p w14:paraId="6E807BF2" w14:textId="77777777" w:rsidR="009C4476" w:rsidRDefault="00000000">
      <w:pPr>
        <w:pStyle w:val="Ttulo2"/>
      </w:pPr>
      <w:r>
        <w:t>3.3 Nombres de campo supuestos en vez de leídos</w:t>
      </w:r>
    </w:p>
    <w:p w14:paraId="521FE075" w14:textId="77777777" w:rsidR="009C4476" w:rsidRDefault="00000000">
      <w:r>
        <w:t>Tres pantallas salieron con guiones o vacías porque se asumieron los nombres de los campos de la respuesta en lugar de mirarla:</w:t>
      </w:r>
    </w:p>
    <w:tbl>
      <w:tblPr>
        <w:tblStyle w:val="Cuadrculaclara-nfasis1"/>
        <w:tblW w:w="0" w:type="auto"/>
        <w:tblLook w:val="04A0" w:firstRow="1" w:lastRow="0" w:firstColumn="1" w:lastColumn="0" w:noHBand="0" w:noVBand="1"/>
      </w:tblPr>
      <w:tblGrid>
        <w:gridCol w:w="2880"/>
        <w:gridCol w:w="2880"/>
        <w:gridCol w:w="2880"/>
      </w:tblGrid>
      <w:tr w:rsidR="009C4476" w14:paraId="5E2201B7" w14:textId="77777777" w:rsidTr="009C44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F2D7EC" w14:textId="77777777" w:rsidR="009C4476" w:rsidRDefault="00000000">
            <w:r>
              <w:rPr>
                <w:sz w:val="19"/>
              </w:rPr>
              <w:t>Dónde</w:t>
            </w:r>
          </w:p>
        </w:tc>
        <w:tc>
          <w:tcPr>
            <w:tcW w:w="2880" w:type="dxa"/>
          </w:tcPr>
          <w:p w14:paraId="1E525666" w14:textId="77777777" w:rsidR="009C4476" w:rsidRDefault="00000000">
            <w:pPr>
              <w:cnfStyle w:val="100000000000" w:firstRow="1" w:lastRow="0" w:firstColumn="0" w:lastColumn="0" w:oddVBand="0" w:evenVBand="0" w:oddHBand="0" w:evenHBand="0" w:firstRowFirstColumn="0" w:firstRowLastColumn="0" w:lastRowFirstColumn="0" w:lastRowLastColumn="0"/>
            </w:pPr>
            <w:r>
              <w:rPr>
                <w:sz w:val="19"/>
              </w:rPr>
              <w:t>Se supuso</w:t>
            </w:r>
          </w:p>
        </w:tc>
        <w:tc>
          <w:tcPr>
            <w:tcW w:w="2880" w:type="dxa"/>
          </w:tcPr>
          <w:p w14:paraId="57C93C7A" w14:textId="77777777" w:rsidR="009C4476" w:rsidRDefault="00000000">
            <w:pPr>
              <w:cnfStyle w:val="100000000000" w:firstRow="1" w:lastRow="0" w:firstColumn="0" w:lastColumn="0" w:oddVBand="0" w:evenVBand="0" w:oddHBand="0" w:evenHBand="0" w:firstRowFirstColumn="0" w:firstRowLastColumn="0" w:lastRowFirstColumn="0" w:lastRowLastColumn="0"/>
            </w:pPr>
            <w:r>
              <w:rPr>
                <w:sz w:val="19"/>
              </w:rPr>
              <w:t>Devuelve de verdad</w:t>
            </w:r>
          </w:p>
        </w:tc>
      </w:tr>
      <w:tr w:rsidR="009C4476" w14:paraId="1475D07B" w14:textId="77777777" w:rsidTr="009C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A8AAD0" w14:textId="77777777" w:rsidR="009C4476" w:rsidRDefault="00000000">
            <w:r>
              <w:rPr>
                <w:sz w:val="19"/>
              </w:rPr>
              <w:t>Tablero</w:t>
            </w:r>
          </w:p>
        </w:tc>
        <w:tc>
          <w:tcPr>
            <w:tcW w:w="2880" w:type="dxa"/>
          </w:tcPr>
          <w:p w14:paraId="36ADC587" w14:textId="77777777" w:rsidR="009C4476" w:rsidRDefault="00000000">
            <w:pPr>
              <w:cnfStyle w:val="000000100000" w:firstRow="0" w:lastRow="0" w:firstColumn="0" w:lastColumn="0" w:oddVBand="0" w:evenVBand="0" w:oddHBand="1" w:evenHBand="0" w:firstRowFirstColumn="0" w:firstRowLastColumn="0" w:lastRowFirstColumn="0" w:lastRowLastColumn="0"/>
            </w:pPr>
            <w:r>
              <w:rPr>
                <w:sz w:val="19"/>
              </w:rPr>
              <w:t>total_revenue, tickets</w:t>
            </w:r>
          </w:p>
        </w:tc>
        <w:tc>
          <w:tcPr>
            <w:tcW w:w="2880" w:type="dxa"/>
          </w:tcPr>
          <w:p w14:paraId="437FAF53" w14:textId="77777777" w:rsidR="009C4476" w:rsidRDefault="00000000">
            <w:pPr>
              <w:cnfStyle w:val="000000100000" w:firstRow="0" w:lastRow="0" w:firstColumn="0" w:lastColumn="0" w:oddVBand="0" w:evenVBand="0" w:oddHBand="1" w:evenHBand="0" w:firstRowFirstColumn="0" w:firstRowLastColumn="0" w:lastRowFirstColumn="0" w:lastRowLastColumn="0"/>
            </w:pPr>
            <w:r>
              <w:rPr>
                <w:sz w:val="19"/>
              </w:rPr>
              <w:t>gross_revenue, ticket_count, average_order_value</w:t>
            </w:r>
          </w:p>
        </w:tc>
      </w:tr>
      <w:tr w:rsidR="009C4476" w14:paraId="5C4B6D71" w14:textId="77777777" w:rsidTr="009C44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CBC38C" w14:textId="77777777" w:rsidR="009C4476" w:rsidRDefault="00000000">
            <w:r>
              <w:rPr>
                <w:sz w:val="19"/>
              </w:rPr>
              <w:t>Corte de caja</w:t>
            </w:r>
          </w:p>
        </w:tc>
        <w:tc>
          <w:tcPr>
            <w:tcW w:w="2880" w:type="dxa"/>
          </w:tcPr>
          <w:p w14:paraId="52198290" w14:textId="77777777" w:rsidR="009C4476" w:rsidRDefault="00000000">
            <w:pPr>
              <w:cnfStyle w:val="000000010000" w:firstRow="0" w:lastRow="0" w:firstColumn="0" w:lastColumn="0" w:oddVBand="0" w:evenVBand="0" w:oddHBand="0" w:evenHBand="1" w:firstRowFirstColumn="0" w:firstRowLastColumn="0" w:lastRowFirstColumn="0" w:lastRowLastColumn="0"/>
            </w:pPr>
            <w:r>
              <w:rPr>
                <w:sz w:val="19"/>
              </w:rPr>
              <w:t>expected_amount (número)</w:t>
            </w:r>
          </w:p>
        </w:tc>
        <w:tc>
          <w:tcPr>
            <w:tcW w:w="2880" w:type="dxa"/>
          </w:tcPr>
          <w:p w14:paraId="37B2AAB3" w14:textId="77777777" w:rsidR="009C4476" w:rsidRDefault="00000000">
            <w:pPr>
              <w:cnfStyle w:val="000000010000" w:firstRow="0" w:lastRow="0" w:firstColumn="0" w:lastColumn="0" w:oddVBand="0" w:evenVBand="0" w:oddHBand="0" w:evenHBand="1" w:firstRowFirstColumn="0" w:firstRowLastColumn="0" w:lastRowFirstColumn="0" w:lastRowLastColumn="0"/>
            </w:pPr>
            <w:r>
              <w:rPr>
                <w:sz w:val="19"/>
              </w:rPr>
              <w:t>expected (diccionario por forma de pago)</w:t>
            </w:r>
          </w:p>
        </w:tc>
      </w:tr>
      <w:tr w:rsidR="009C4476" w14:paraId="705527ED" w14:textId="77777777" w:rsidTr="009C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B26EC7" w14:textId="77777777" w:rsidR="009C4476" w:rsidRDefault="00000000">
            <w:r>
              <w:rPr>
                <w:sz w:val="19"/>
              </w:rPr>
              <w:t>Reflejo de venta</w:t>
            </w:r>
          </w:p>
        </w:tc>
        <w:tc>
          <w:tcPr>
            <w:tcW w:w="2880" w:type="dxa"/>
          </w:tcPr>
          <w:p w14:paraId="5C50A341" w14:textId="77777777" w:rsidR="009C4476" w:rsidRDefault="00000000">
            <w:pPr>
              <w:cnfStyle w:val="000000100000" w:firstRow="0" w:lastRow="0" w:firstColumn="0" w:lastColumn="0" w:oddVBand="0" w:evenVBand="0" w:oddHBand="1" w:evenHBand="0" w:firstRowFirstColumn="0" w:firstRowLastColumn="0" w:lastRowFirstColumn="0" w:lastRowLastColumn="0"/>
            </w:pPr>
            <w:r>
              <w:rPr>
                <w:sz w:val="19"/>
              </w:rPr>
              <w:t>items[].product_id</w:t>
            </w:r>
          </w:p>
        </w:tc>
        <w:tc>
          <w:tcPr>
            <w:tcW w:w="2880" w:type="dxa"/>
          </w:tcPr>
          <w:p w14:paraId="1C93E216" w14:textId="77777777" w:rsidR="009C4476" w:rsidRDefault="00000000">
            <w:pPr>
              <w:cnfStyle w:val="000000100000" w:firstRow="0" w:lastRow="0" w:firstColumn="0" w:lastColumn="0" w:oddVBand="0" w:evenVBand="0" w:oddHBand="1" w:evenHBand="0" w:firstRowFirstColumn="0" w:firstRowLastColumn="0" w:lastRowFirstColumn="0" w:lastRowLastColumn="0"/>
            </w:pPr>
            <w:r>
              <w:rPr>
                <w:sz w:val="19"/>
              </w:rPr>
              <w:t>items[].product_name — sin id</w:t>
            </w:r>
          </w:p>
        </w:tc>
      </w:tr>
    </w:tbl>
    <w:p w14:paraId="0DE9A94F" w14:textId="77777777" w:rsidR="009C4476" w:rsidRDefault="009C4476"/>
    <w:p w14:paraId="5810F910" w14:textId="77777777" w:rsidR="009C4476" w:rsidRDefault="00000000">
      <w:r>
        <w:t>El tercero era el más serio: la respuesta del POS al cobrar no trae el identificador del producto, solo su nombre. Emparejar por nombre es justo lo que este puente se prohíbe —dos productos que se llaman casi igual y la venta descuenta del renglón equivocado sin que nada avise—. Se resolvió tomando las partidas de la petición, que sí lleva el identificador que el cajero cobró.</w:t>
      </w:r>
    </w:p>
    <w:p w14:paraId="1E2FD1F3" w14:textId="77777777" w:rsidR="009C4476" w:rsidRDefault="00000000">
      <w:r>
        <w:t>Los tres se descubrieron ejecutando el flujo real, no con pruebas unitarias. Es el mismo patrón de días anteriores y conviene decirlo sin adorno: las pruebas confirman lo que ya se entendió; los contratos entre piezas se descubren corriéndolas.</w:t>
      </w:r>
    </w:p>
    <w:p w14:paraId="2B9629C6" w14:textId="77777777" w:rsidR="009C4476" w:rsidRDefault="00000000">
      <w:pPr>
        <w:pStyle w:val="Ttulo1"/>
      </w:pPr>
      <w:r>
        <w:t>4. Qué queda pendiente</w:t>
      </w:r>
    </w:p>
    <w:p w14:paraId="3ACD6A3F" w14:textId="77777777" w:rsidR="009C4476" w:rsidRDefault="00000000">
      <w:pPr>
        <w:pStyle w:val="Prrafodelista"/>
        <w:ind w:left="360"/>
      </w:pPr>
      <w:r>
        <w:rPr>
          <w:b/>
        </w:rPr>
        <w:t xml:space="preserve">TYAKXA todavía no factura una venta del POS. </w:t>
      </w:r>
      <w:r>
        <w:t>El punto de venta ya no puede timbrar, que era lo pedido, pero el camino para emitir el CFDI de una venta de mostrador desde el núcleo no está construido. Hoy una venta de mostrador no se puede facturar por ningún lado. Es el hueco más importante que deja la jornada.</w:t>
      </w:r>
    </w:p>
    <w:p w14:paraId="7571BA24" w14:textId="77777777" w:rsidR="009C4476" w:rsidRDefault="00000000">
      <w:pPr>
        <w:pStyle w:val="Prrafodelista"/>
        <w:ind w:left="360"/>
      </w:pPr>
      <w:r>
        <w:rPr>
          <w:b/>
        </w:rPr>
        <w:t xml:space="preserve">Inventario de restaurante y de logística. </w:t>
      </w:r>
      <w:r>
        <w:t>Ambos tienen sus propias tablas, hoy con cero registros. Falta redirigir su código al inventario único. Al no haber datos, es trabajo de código sin migración de información.</w:t>
      </w:r>
    </w:p>
    <w:p w14:paraId="26FEED51" w14:textId="77777777" w:rsidR="009C4476" w:rsidRDefault="00000000">
      <w:pPr>
        <w:pStyle w:val="Prrafodelista"/>
        <w:ind w:left="360"/>
      </w:pPr>
      <w:r>
        <w:rPr>
          <w:b/>
        </w:rPr>
        <w:t xml:space="preserve">El submódulo modules/pos no se ha subido. </w:t>
      </w:r>
      <w:r>
        <w:t>Los cambios están en el árbol de trabajo de un repositorio distinto (Tyakxa/POS). Subirlos es una decisión del usuario.</w:t>
      </w:r>
    </w:p>
    <w:p w14:paraId="1CE3082E" w14:textId="77777777" w:rsidR="009C4476" w:rsidRDefault="00000000">
      <w:pPr>
        <w:pStyle w:val="Prrafodelista"/>
        <w:ind w:left="360"/>
      </w:pPr>
      <w:r>
        <w:rPr>
          <w:b/>
        </w:rPr>
        <w:t xml:space="preserve">Consolidar las dos copias del POS </w:t>
      </w:r>
      <w:r>
        <w:t xml:space="preserve"> en una sola, apuntando el contenedor al submódulo. Implica mover volúmenes de base de datos.</w:t>
      </w:r>
    </w:p>
    <w:p w14:paraId="4CBD98B0" w14:textId="77777777" w:rsidR="009C4476" w:rsidRDefault="00000000">
      <w:pPr>
        <w:pStyle w:val="Prrafodelista"/>
        <w:ind w:left="360"/>
      </w:pPr>
      <w:r>
        <w:rPr>
          <w:b/>
        </w:rPr>
        <w:t xml:space="preserve">Credenciales de admin1. </w:t>
      </w:r>
      <w:r>
        <w:t>La contraseña del archivo .env ya no coincide con la de la base. No se forzó ni se restableció. Por eso los botones de Gestor de roles y Perfiles se verificaron con una entrada temporal equivalente y no con la cuenta real: se confirmó que la barra los pinta y que un rol sin permiso no los ve, pero falta verlos con la cuenta de administrador.</w:t>
      </w:r>
    </w:p>
    <w:p w14:paraId="209778D2" w14:textId="77777777" w:rsidR="009C4476" w:rsidRDefault="00000000">
      <w:pPr>
        <w:pStyle w:val="Prrafodelista"/>
        <w:ind w:left="360"/>
      </w:pPr>
      <w:r>
        <w:rPr>
          <w:b/>
        </w:rPr>
        <w:t xml:space="preserve">Pendientes de larga data: </w:t>
      </w:r>
      <w:r>
        <w:t>credenciales de Facturama para probar contra el PAC real, cifrado de columnas con datos personales, decimales como texto en el contrato de la API, e integración continua.</w:t>
      </w:r>
    </w:p>
    <w:p w14:paraId="6E02E4CE" w14:textId="77777777" w:rsidR="009C4476" w:rsidRDefault="00000000">
      <w:pPr>
        <w:pStyle w:val="Ttulo1"/>
      </w:pPr>
      <w:r>
        <w:lastRenderedPageBreak/>
        <w:t>5. Estado de las pruebas</w:t>
      </w:r>
    </w:p>
    <w:tbl>
      <w:tblPr>
        <w:tblStyle w:val="Cuadrculaclara-nfasis1"/>
        <w:tblW w:w="0" w:type="auto"/>
        <w:tblLook w:val="04A0" w:firstRow="1" w:lastRow="0" w:firstColumn="1" w:lastColumn="0" w:noHBand="0" w:noVBand="1"/>
      </w:tblPr>
      <w:tblGrid>
        <w:gridCol w:w="4320"/>
        <w:gridCol w:w="4320"/>
      </w:tblGrid>
      <w:tr w:rsidR="009C4476" w14:paraId="5E3137B8" w14:textId="77777777" w:rsidTr="009C44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10AED9" w14:textId="77777777" w:rsidR="009C4476" w:rsidRDefault="00000000">
            <w:r>
              <w:rPr>
                <w:sz w:val="19"/>
              </w:rPr>
              <w:t>Suite</w:t>
            </w:r>
          </w:p>
        </w:tc>
        <w:tc>
          <w:tcPr>
            <w:tcW w:w="4320" w:type="dxa"/>
          </w:tcPr>
          <w:p w14:paraId="1B105FA0" w14:textId="77777777" w:rsidR="009C4476" w:rsidRDefault="00000000">
            <w:pPr>
              <w:cnfStyle w:val="100000000000" w:firstRow="1" w:lastRow="0" w:firstColumn="0" w:lastColumn="0" w:oddVBand="0" w:evenVBand="0" w:oddHBand="0" w:evenHBand="0" w:firstRowFirstColumn="0" w:firstRowLastColumn="0" w:lastRowFirstColumn="0" w:lastRowLastColumn="0"/>
            </w:pPr>
            <w:r>
              <w:rPr>
                <w:sz w:val="19"/>
              </w:rPr>
              <w:t>Resultado</w:t>
            </w:r>
          </w:p>
        </w:tc>
      </w:tr>
      <w:tr w:rsidR="009C4476" w14:paraId="016A89FA" w14:textId="77777777" w:rsidTr="009C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3376F8" w14:textId="77777777" w:rsidR="009C4476" w:rsidRDefault="00000000">
            <w:r>
              <w:rPr>
                <w:sz w:val="19"/>
              </w:rPr>
              <w:t>Backend completo</w:t>
            </w:r>
          </w:p>
        </w:tc>
        <w:tc>
          <w:tcPr>
            <w:tcW w:w="4320" w:type="dxa"/>
          </w:tcPr>
          <w:p w14:paraId="4E67DBDD" w14:textId="77777777" w:rsidR="009C4476" w:rsidRDefault="00000000">
            <w:pPr>
              <w:cnfStyle w:val="000000100000" w:firstRow="0" w:lastRow="0" w:firstColumn="0" w:lastColumn="0" w:oddVBand="0" w:evenVBand="0" w:oddHBand="1" w:evenHBand="0" w:firstRowFirstColumn="0" w:firstRowLastColumn="0" w:lastRowFirstColumn="0" w:lastRowLastColumn="0"/>
            </w:pPr>
            <w:r>
              <w:rPr>
                <w:sz w:val="19"/>
              </w:rPr>
              <w:t>910 pasadas · 6 omitidas · 1 106 subpruebas</w:t>
            </w:r>
          </w:p>
        </w:tc>
      </w:tr>
      <w:tr w:rsidR="009C4476" w14:paraId="7386D28B" w14:textId="77777777" w:rsidTr="009C44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3BE361" w14:textId="77777777" w:rsidR="009C4476" w:rsidRDefault="00000000">
            <w:r>
              <w:rPr>
                <w:sz w:val="19"/>
              </w:rPr>
              <w:t>Puente con el punto de venta</w:t>
            </w:r>
          </w:p>
        </w:tc>
        <w:tc>
          <w:tcPr>
            <w:tcW w:w="4320" w:type="dxa"/>
          </w:tcPr>
          <w:p w14:paraId="678EFCD8" w14:textId="77777777" w:rsidR="009C4476" w:rsidRDefault="00000000">
            <w:pPr>
              <w:cnfStyle w:val="000000010000" w:firstRow="0" w:lastRow="0" w:firstColumn="0" w:lastColumn="0" w:oddVBand="0" w:evenVBand="0" w:oddHBand="0" w:evenHBand="1" w:firstRowFirstColumn="0" w:firstRowLastColumn="0" w:lastRowFirstColumn="0" w:lastRowLastColumn="0"/>
            </w:pPr>
            <w:r>
              <w:rPr>
                <w:sz w:val="19"/>
              </w:rPr>
              <w:t>16 pruebas (13 nuevas hoy)</w:t>
            </w:r>
          </w:p>
        </w:tc>
      </w:tr>
      <w:tr w:rsidR="009C4476" w14:paraId="54ED4FAB" w14:textId="77777777" w:rsidTr="009C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4803CD" w14:textId="77777777" w:rsidR="009C4476" w:rsidRDefault="00000000">
            <w:r>
              <w:rPr>
                <w:sz w:val="19"/>
              </w:rPr>
              <w:t>Archivos de migración</w:t>
            </w:r>
          </w:p>
        </w:tc>
        <w:tc>
          <w:tcPr>
            <w:tcW w:w="4320" w:type="dxa"/>
          </w:tcPr>
          <w:p w14:paraId="63C69920" w14:textId="77777777" w:rsidR="009C4476" w:rsidRDefault="00000000">
            <w:pPr>
              <w:cnfStyle w:val="000000100000" w:firstRow="0" w:lastRow="0" w:firstColumn="0" w:lastColumn="0" w:oddVBand="0" w:evenVBand="0" w:oddHBand="1" w:evenHBand="0" w:firstRowFirstColumn="0" w:firstRowLastColumn="0" w:lastRowFirstColumn="0" w:lastRowLastColumn="0"/>
            </w:pPr>
            <w:r>
              <w:rPr>
                <w:sz w:val="19"/>
              </w:rPr>
              <w:t>2 pruebas nuevas (guarda del signo de porcentaje)</w:t>
            </w:r>
          </w:p>
        </w:tc>
      </w:tr>
      <w:tr w:rsidR="009C4476" w14:paraId="3DEE014F" w14:textId="77777777" w:rsidTr="009C44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16344E" w14:textId="77777777" w:rsidR="009C4476" w:rsidRDefault="00000000">
            <w:r>
              <w:rPr>
                <w:sz w:val="19"/>
              </w:rPr>
              <w:t>Registro de módulos</w:t>
            </w:r>
          </w:p>
        </w:tc>
        <w:tc>
          <w:tcPr>
            <w:tcW w:w="4320" w:type="dxa"/>
          </w:tcPr>
          <w:p w14:paraId="01E15E5F" w14:textId="77777777" w:rsidR="009C4476" w:rsidRDefault="00000000">
            <w:pPr>
              <w:cnfStyle w:val="000000010000" w:firstRow="0" w:lastRow="0" w:firstColumn="0" w:lastColumn="0" w:oddVBand="0" w:evenVBand="0" w:oddHBand="0" w:evenHBand="1" w:firstRowFirstColumn="0" w:firstRowLastColumn="0" w:lastRowFirstColumn="0" w:lastRowLastColumn="0"/>
            </w:pPr>
            <w:r>
              <w:rPr>
                <w:sz w:val="19"/>
              </w:rPr>
              <w:t>23 pruebas, sin cambios pese al reagrupado del menú</w:t>
            </w:r>
          </w:p>
        </w:tc>
      </w:tr>
      <w:tr w:rsidR="009C4476" w14:paraId="7DB451DF" w14:textId="77777777" w:rsidTr="009C44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B50047" w14:textId="77777777" w:rsidR="009C4476" w:rsidRDefault="00000000">
            <w:r>
              <w:rPr>
                <w:sz w:val="19"/>
              </w:rPr>
              <w:t>Compilación del frontend</w:t>
            </w:r>
          </w:p>
        </w:tc>
        <w:tc>
          <w:tcPr>
            <w:tcW w:w="4320" w:type="dxa"/>
          </w:tcPr>
          <w:p w14:paraId="30D886B3" w14:textId="77777777" w:rsidR="009C4476" w:rsidRDefault="00000000">
            <w:pPr>
              <w:cnfStyle w:val="000000100000" w:firstRow="0" w:lastRow="0" w:firstColumn="0" w:lastColumn="0" w:oddVBand="0" w:evenVBand="0" w:oddHBand="1" w:evenHBand="0" w:firstRowFirstColumn="0" w:firstRowLastColumn="0" w:lastRowFirstColumn="0" w:lastRowLastColumn="0"/>
            </w:pPr>
            <w:r>
              <w:rPr>
                <w:sz w:val="19"/>
              </w:rPr>
              <w:t>correcta</w:t>
            </w:r>
          </w:p>
        </w:tc>
      </w:tr>
    </w:tbl>
    <w:p w14:paraId="09B5D7D8" w14:textId="77777777" w:rsidR="009C4476" w:rsidRDefault="009C4476"/>
    <w:p w14:paraId="20262873" w14:textId="77777777" w:rsidR="009C4476" w:rsidRDefault="00000000">
      <w:r>
        <w:t>Las pruebas nuevas del puente se verificaron por mutación: al cerrarle al cajero la lectura de enlaces, la prueba falla. Una prueba que pasa igual con y sin el arreglo no está probando nada.</w:t>
      </w:r>
    </w:p>
    <w:p w14:paraId="72EA9958" w14:textId="77777777" w:rsidR="009C4476" w:rsidRDefault="00000000">
      <w:r>
        <w:t>Corrección propia que vale la pena registrar: una de las pruebas nuevas esperaba que la lista de clientes fuera de administración, y falló. El código tenía razón —el cajero necesita la lista para cobrar, y la ficha con crédito e historial sí es de administración—. Se ajustó la expectativa, no el código.</w:t>
      </w:r>
    </w:p>
    <w:p w14:paraId="2D09AF71" w14:textId="77777777" w:rsidR="009C4476" w:rsidRDefault="00000000">
      <w:pPr>
        <w:pStyle w:val="Ttulo1"/>
      </w:pPr>
      <w:r>
        <w:t>6. Conclusión</w:t>
      </w:r>
    </w:p>
    <w:p w14:paraId="679C603C" w14:textId="77777777" w:rsidR="009C4476" w:rsidRDefault="00000000">
      <w:r>
        <w:t>Los tres duplicados que se pidieron eliminar quedaron eliminados y verificados sobre el sistema en ejecución, no solo en el código. El inventario es uno y se comprobó con una venta real; la facturación del punto de venta ya no existe; la configuración vive en un solo apartado.</w:t>
      </w:r>
    </w:p>
    <w:p w14:paraId="7524C3FF" w14:textId="77777777" w:rsidR="009C4476" w:rsidRDefault="00000000">
      <w:r>
        <w:t>Queda un hueco que conviene no perder de vista: al retirar la facturación del POS y no haber construido todavía el camino para que TYAKXA emita el CFDI de una venta de mostrador, ese tipo de venta hoy no se puede facturar desde ningún lado. Es la primera tarea de la próxima sesión.</w:t>
      </w:r>
    </w:p>
    <w:p w14:paraId="1E80048D" w14:textId="77777777" w:rsidR="009C4476" w:rsidRDefault="00000000">
      <w:r>
        <w:t>El hallazgo de las migraciones fue el más valioso del día porque no se estaba buscando: se cayó encima de él al equivocarse con un signo de porcentaje en una migración propia. La misma equivocación llevaba tiempo en el repositorio, esperando al primer despliegue en una base limpia.</w:t>
      </w:r>
    </w:p>
    <w:sectPr w:rsidR="009C44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11911719">
    <w:abstractNumId w:val="8"/>
  </w:num>
  <w:num w:numId="2" w16cid:durableId="543831733">
    <w:abstractNumId w:val="6"/>
  </w:num>
  <w:num w:numId="3" w16cid:durableId="1194925396">
    <w:abstractNumId w:val="5"/>
  </w:num>
  <w:num w:numId="4" w16cid:durableId="305863104">
    <w:abstractNumId w:val="4"/>
  </w:num>
  <w:num w:numId="5" w16cid:durableId="1762288705">
    <w:abstractNumId w:val="7"/>
  </w:num>
  <w:num w:numId="6" w16cid:durableId="895311828">
    <w:abstractNumId w:val="3"/>
  </w:num>
  <w:num w:numId="7" w16cid:durableId="1804619302">
    <w:abstractNumId w:val="2"/>
  </w:num>
  <w:num w:numId="8" w16cid:durableId="1634944579">
    <w:abstractNumId w:val="1"/>
  </w:num>
  <w:num w:numId="9" w16cid:durableId="958074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7A0A"/>
    <w:rsid w:val="009C4476"/>
    <w:rsid w:val="00A676D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E5ABE3"/>
  <w14:defaultImageDpi w14:val="300"/>
  <w15:docId w15:val="{289DF7D6-5FB6-4897-AFC5-287B19509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B7A60"/>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B7A60"/>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1820</Words>
  <Characters>10013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 GERARDO MENDOZA GRANADOS</cp:lastModifiedBy>
  <cp:revision>2</cp:revision>
  <dcterms:created xsi:type="dcterms:W3CDTF">2013-12-23T23:15:00Z</dcterms:created>
  <dcterms:modified xsi:type="dcterms:W3CDTF">2026-09-01T19:25:00Z</dcterms:modified>
  <cp:category/>
</cp:coreProperties>
</file>