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p>
    <w:p>
      <w:pPr>
        <w:spacing w:after="100"/>
      </w:pPr>
      <w:r>
        <w:rPr>
          <w:rFonts w:ascii="Calibri" w:cs="Calibri" w:eastAsia="Calibri" w:hAnsi="Calibri"/>
          <w:b/>
          <w:bCs/>
          <w:color w:val="2A78D6"/>
          <w:sz w:val="20"/>
          <w:szCs w:val="20"/>
        </w:rPr>
        <w:t xml:space="preserve">INFORME DE FUNCIONAMIENTO</w:t>
      </w:r>
    </w:p>
    <w:p>
      <w:pPr>
        <w:pBdr>
          <w:bottom w:val="single" w:color="2A78D6" w:sz="12" w:space="8"/>
        </w:pBdr>
        <w:spacing w:after="120"/>
      </w:pPr>
      <w:r>
        <w:rPr>
          <w:rFonts w:ascii="Calibri" w:cs="Calibri" w:eastAsia="Calibri" w:hAnsi="Calibri"/>
          <w:b/>
          <w:bCs/>
          <w:color w:val="0B0B0B"/>
          <w:sz w:val="52"/>
          <w:szCs w:val="52"/>
        </w:rPr>
        <w:t xml:space="preserve">Módulo de Inteligencia de Negocios</w:t>
      </w:r>
    </w:p>
    <w:p>
      <w:pPr>
        <w:spacing w:after="400" w:line="276"/>
      </w:pPr>
      <w:r>
        <w:rPr>
          <w:rFonts w:ascii="Calibri" w:cs="Calibri" w:eastAsia="Calibri" w:hAnsi="Calibri"/>
          <w:color w:val="52514E"/>
          <w:sz w:val="24"/>
          <w:szCs w:val="24"/>
        </w:rPr>
        <w:t xml:space="preserve">Consulta en lenguaje natural sobre cualquier base de datos, con traducción a SQL y visualización dinámica</w:t>
      </w:r>
    </w:p>
    <w:tbl>
      <w:tblPr>
        <w:tblW w:type="dxa" w:w="9360"/>
        <w:tblBorders>
          <w:top w:val="single" w:color="D8D8D2" w:sz="2"/>
          <w:left w:val="none" w:color="FFFFFF" w:sz="0"/>
          <w:bottom w:val="single" w:color="D8D8D2" w:sz="2"/>
          <w:right w:val="none" w:color="FFFFFF" w:sz="0"/>
          <w:insideH w:val="single" w:color="E7E6E1" w:sz="1"/>
          <w:insideV w:val="none" w:color="FFFFFF" w:sz="0"/>
        </w:tblBorders>
      </w:tblPr>
      <w:tblGrid>
        <w:gridCol w:w="2434"/>
        <w:gridCol w:w="6926"/>
      </w:tblGrid>
      <w:tr>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Fecha</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22 de septiembre de 2026</w:t>
            </w:r>
          </w:p>
        </w:tc>
      </w:tr>
      <w:tr>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Versión del módulo</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0.1.0</w:t>
            </w:r>
          </w:p>
        </w:tc>
      </w:tr>
      <w:tr>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Naturaleza</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Módulo reutilizable y agnóstico del proyecto</w:t>
            </w:r>
          </w:p>
        </w:tc>
      </w:tr>
      <w:tr>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Tecnología</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Python · Flask · SQLAlchemy · Ollama · React · TypeScript · Recharts</w:t>
            </w:r>
          </w:p>
        </w:tc>
      </w:tr>
      <w:tr>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Licenciamiento</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100 % componentes de código abierto, sin costo por uso</w:t>
            </w:r>
          </w:p>
        </w:tc>
      </w:tr>
      <w:tr>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Estado</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Backend, frontend y validación completos y verificados</w:t>
            </w:r>
          </w:p>
        </w:tc>
      </w:tr>
    </w:tbl>
    <w:p>
      <w:r>
        <w:br w:type="page"/>
      </w:r>
    </w:p>
    <w:p>
      <w:pPr>
        <w:pStyle w:val="Heading1"/>
        <w:spacing w:after="180" w:before="360"/>
      </w:pPr>
      <w:r>
        <w:rPr>
          <w:rFonts w:ascii="Calibri" w:cs="Calibri" w:eastAsia="Calibri" w:hAnsi="Calibri"/>
          <w:b/>
          <w:bCs/>
          <w:color w:val="0B0B0B"/>
          <w:sz w:val="30"/>
          <w:szCs w:val="30"/>
        </w:rPr>
        <w:t xml:space="preserve">1. Resumen ejecutivo</w:t>
      </w:r>
    </w:p>
    <w:p>
      <w:pPr>
        <w:spacing w:after="140" w:line="276"/>
      </w:pPr>
      <w:r>
        <w:rPr>
          <w:rFonts w:ascii="Calibri" w:cs="Calibri" w:eastAsia="Calibri" w:hAnsi="Calibri"/>
        </w:rPr>
        <w:t xml:space="preserve">Este módulo permite que una persona sin conocimientos de SQL pregunte por sus datos en español —«¿cuánto vendimos por mes este año?», «dame un tablero general de ventas»— y reciba la respuesta ya calculada y dibujada: una gráfica, una tarjeta de indicador o un tablero completo.</w:t>
      </w:r>
    </w:p>
    <w:p>
      <w:pPr>
        <w:spacing w:after="140" w:line="276"/>
      </w:pPr>
      <w:r>
        <w:rPr>
          <w:rFonts w:ascii="Calibri" w:cs="Calibri" w:eastAsia="Calibri" w:hAnsi="Calibri"/>
        </w:rPr>
        <w:t xml:space="preserve">Tres características lo distinguen de una herramienta de inteligencia de negocios convencional:</w:t>
      </w:r>
    </w:p>
    <w:p>
      <w:pPr>
        <w:pStyle w:val="ListParagraph"/>
        <w:numPr>
          <w:ilvl w:val="0"/>
          <w:numId w:val="2"/>
        </w:numPr>
        <w:spacing w:after="90" w:line="276"/>
      </w:pPr>
      <w:r>
        <w:rPr>
          <w:rFonts w:ascii="Calibri" w:cs="Calibri" w:eastAsia="Calibri" w:hAnsi="Calibri"/>
        </w:rPr>
        <w:t xml:space="preserve">Es agnóstico. Se conecta a la base de cualquier proyecto —ERP, CRM, punto de venta, logística— inyectando únicamente una cadena de conexión. No se modifica código para cambiar de sistema ni de motor de base de datos.</w:t>
      </w:r>
    </w:p>
    <w:p>
      <w:pPr>
        <w:pStyle w:val="ListParagraph"/>
        <w:numPr>
          <w:ilvl w:val="0"/>
          <w:numId w:val="2"/>
        </w:numPr>
        <w:spacing w:after="90" w:line="276"/>
      </w:pPr>
      <w:r>
        <w:rPr>
          <w:rFonts w:ascii="Calibri" w:cs="Calibri" w:eastAsia="Calibri" w:hAnsi="Calibri"/>
        </w:rPr>
        <w:t xml:space="preserve">Los datos no salen del servidor. El modelo de lenguaje corre localmente con Ollama. Ninguna pregunta, ningún esquema y ningún dato viajan a un servicio externo.</w:t>
      </w:r>
    </w:p>
    <w:p>
      <w:pPr>
        <w:pStyle w:val="ListParagraph"/>
        <w:numPr>
          <w:ilvl w:val="0"/>
          <w:numId w:val="2"/>
        </w:numPr>
        <w:spacing w:after="90" w:line="276"/>
      </w:pPr>
      <w:r>
        <w:rPr>
          <w:rFonts w:ascii="Calibri" w:cs="Calibri" w:eastAsia="Calibri" w:hAnsi="Calibri"/>
        </w:rPr>
        <w:t xml:space="preserve">No pide que se le crea. Cada respuesta incluye la consulta SQL exacta que se ejecutó. Un número dudoso se audita leyéndola.</w:t>
      </w:r>
    </w:p>
    <w:p>
      <w:pPr>
        <w:spacing w:after="140" w:line="276"/>
      </w:pPr>
      <w:r>
        <w:rPr>
          <w:rFonts w:ascii="Calibri" w:cs="Calibri" w:eastAsia="Calibri" w:hAnsi="Calibri"/>
        </w:rPr>
        <w:t xml:space="preserve">El módulo está construido, probado y documentado. La validación automatizada consta de 74 pruebas que se ejecutan sin red y sin modelo; la interfaz se verificó en un navegador real.</w:t>
      </w:r>
    </w:p>
    <w:p>
      <w:pPr>
        <w:spacing w:after="140" w:line="276"/>
      </w:pPr>
      <w:r>
        <w:rPr>
          <w:rFonts w:ascii="Calibri" w:cs="Calibri" w:eastAsia="Calibri" w:hAnsi="Calibri"/>
          <w:b/>
          <w:bCs/>
        </w:rPr>
        <w:t xml:space="preserve">Advertencia importante: </w:t>
      </w:r>
      <w:r>
        <w:rPr>
          <w:rFonts w:ascii="Calibri" w:cs="Calibri" w:eastAsia="Calibri" w:hAnsi="Calibri"/>
          <w:b w:val="false"/>
          <w:bCs w:val="false"/>
          <w:i w:val="false"/>
          <w:iCs w:val="false"/>
        </w:rPr>
        <w:t xml:space="preserve">el módulo no incluye autenticación. Montado por sí solo, cualquiera que alcance el endpoint puede consultar los datos. Esto es deliberado —un módulo embebible no debe inventar su propio esquema de sesión— pero debe resolverse antes de exponerlo. El documento de despliegue detalla las tres formas de hacerlo.</w:t>
      </w:r>
    </w:p>
    <w:p>
      <w:pPr>
        <w:pStyle w:val="Heading1"/>
        <w:spacing w:after="180" w:before="360"/>
      </w:pPr>
      <w:r>
        <w:rPr>
          <w:rFonts w:ascii="Calibri" w:cs="Calibri" w:eastAsia="Calibri" w:hAnsi="Calibri"/>
          <w:b/>
          <w:bCs/>
          <w:color w:val="0B0B0B"/>
          <w:sz w:val="30"/>
          <w:szCs w:val="30"/>
        </w:rPr>
        <w:t xml:space="preserve">2. Cómo funciona</w:t>
      </w:r>
    </w:p>
    <w:p>
      <w:pPr>
        <w:spacing w:after="140" w:line="276"/>
      </w:pPr>
      <w:r>
        <w:rPr>
          <w:rFonts w:ascii="Calibri" w:cs="Calibri" w:eastAsia="Calibri" w:hAnsi="Calibri"/>
        </w:rPr>
        <w:t xml:space="preserve">Una pregunta recorre siete etapas. Las cinco primeras ocurren antes de que la base de datos vea nada.</w:t>
      </w:r>
    </w:p>
    <w:tbl>
      <w:tblPr>
        <w:tblW w:type="dxa" w:w="9360"/>
        <w:tblBorders>
          <w:top w:val="single" w:color="D8D8D2" w:sz="2"/>
          <w:left w:val="none" w:color="FFFFFF" w:sz="0"/>
          <w:bottom w:val="single" w:color="D8D8D2" w:sz="2"/>
          <w:right w:val="none" w:color="FFFFFF" w:sz="0"/>
          <w:insideH w:val="single" w:color="E7E6E1" w:sz="1"/>
          <w:insideV w:val="none" w:color="FFFFFF" w:sz="0"/>
        </w:tblBorders>
      </w:tblPr>
      <w:tblGrid>
        <w:gridCol w:w="562"/>
        <w:gridCol w:w="2434"/>
        <w:gridCol w:w="6365"/>
      </w:tblGrid>
      <w:tr>
        <w:trPr>
          <w:tblHeader/>
        </w:trPr>
        <w:tc>
          <w:tcPr>
            <w:tcW w:type="dxa" w:w="562"/>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w:t>
            </w:r>
          </w:p>
        </w:tc>
        <w:tc>
          <w:tcPr>
            <w:tcW w:type="dxa" w:w="2434"/>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Etapa</w:t>
            </w:r>
          </w:p>
        </w:tc>
        <w:tc>
          <w:tcPr>
            <w:tcW w:type="dxa" w:w="6365"/>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Qué ocurre</w:t>
            </w:r>
          </w:p>
        </w:tc>
      </w:tr>
      <w:tr>
        <w:tc>
          <w:tcPr>
            <w:tcW w:type="dxa" w:w="56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1</w:t>
            </w:r>
          </w:p>
        </w:tc>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Extracción del esquema</w:t>
            </w:r>
          </w:p>
        </w:tc>
        <w:tc>
          <w:tcPr>
            <w:tcW w:type="dxa" w:w="636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Se inspecciona la base conectada y se genera su estructura (tablas, columnas, tipos, llaves primarias y foráneas). El resultado se guarda en memoria y se renueva solo cuando caduca o cambia.</w:t>
            </w:r>
          </w:p>
        </w:tc>
      </w:tr>
      <w:tr>
        <w:tc>
          <w:tcPr>
            <w:tcW w:type="dxa" w:w="56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2</w:t>
            </w:r>
          </w:p>
        </w:tc>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Filtrado</w:t>
            </w:r>
          </w:p>
        </w:tc>
        <w:tc>
          <w:tcPr>
            <w:tcW w:type="dxa" w:w="636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Se descartan las tablas de fontanería (migraciones, sesiones, tokens) y las columnas sensibles. Una columna filtrada no aparece en el texto que ve el modelo: no existe para él.</w:t>
            </w:r>
          </w:p>
        </w:tc>
      </w:tr>
      <w:tr>
        <w:tc>
          <w:tcPr>
            <w:tcW w:type="dxa" w:w="56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3</w:t>
            </w:r>
          </w:p>
        </w:tc>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Construcción del contrato</w:t>
            </w:r>
          </w:p>
        </w:tc>
        <w:tc>
          <w:tcPr>
            <w:tcW w:type="dxa" w:w="636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Se arma el mensaje al modelo: su papel, el motor de base de datos, la estructura filtrada, las reglas de seguridad, el formato JSON de respuesta y la fecha de hoy.</w:t>
            </w:r>
          </w:p>
        </w:tc>
      </w:tr>
      <w:tr>
        <w:tc>
          <w:tcPr>
            <w:tcW w:type="dxa" w:w="56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4</w:t>
            </w:r>
          </w:p>
        </w:tc>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Generación</w:t>
            </w:r>
          </w:p>
        </w:tc>
        <w:tc>
          <w:tcPr>
            <w:tcW w:type="dxa" w:w="636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El modelo local devuelve un JSON con la consulta SQL, una explicación y la directiva de cómo dibujarla.</w:t>
            </w:r>
          </w:p>
        </w:tc>
      </w:tr>
      <w:tr>
        <w:tc>
          <w:tcPr>
            <w:tcW w:type="dxa" w:w="56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5</w:t>
            </w:r>
          </w:p>
        </w:tc>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Validación</w:t>
            </w:r>
          </w:p>
        </w:tc>
        <w:tc>
          <w:tcPr>
            <w:tcW w:type="dxa" w:w="636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La consulta pasa por la barrera de seguridad. Si no la pasa, no llega a la base de datos.</w:t>
            </w:r>
          </w:p>
        </w:tc>
      </w:tr>
      <w:tr>
        <w:tc>
          <w:tcPr>
            <w:tcW w:type="dxa" w:w="56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6</w:t>
            </w:r>
          </w:p>
        </w:tc>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Ejecución</w:t>
            </w:r>
          </w:p>
        </w:tc>
        <w:tc>
          <w:tcPr>
            <w:tcW w:type="dxa" w:w="636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Se corre en una transacción de solo lectura, con tiempo máximo y tope de filas.</w:t>
            </w:r>
          </w:p>
        </w:tc>
      </w:tr>
      <w:tr>
        <w:tc>
          <w:tcPr>
            <w:tcW w:type="dxa" w:w="56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7</w:t>
            </w:r>
          </w:p>
        </w:tc>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Dibujo</w:t>
            </w:r>
          </w:p>
        </w:tc>
        <w:tc>
          <w:tcPr>
            <w:tcW w:type="dxa" w:w="636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Los ejes propuestos por el modelo se corrigen contra las columnas que realmente salieron, y el frontend dibuja.</w:t>
            </w:r>
          </w:p>
        </w:tc>
      </w:tr>
    </w:tbl>
    <w:p>
      <w:pPr>
        <w:spacing w:after="160"/>
      </w:pPr>
    </w:p>
    <w:p>
      <w:pPr>
        <w:spacing w:after="140" w:line="276"/>
      </w:pPr>
      <w:r>
        <w:rPr>
          <w:rFonts w:ascii="Calibri" w:cs="Calibri" w:eastAsia="Calibri" w:hAnsi="Calibri"/>
        </w:rPr>
        <w:t xml:space="preserve">La etapa 7 merece explicación. El fallo más frecuente de estos sistemas es silencioso: el modelo indica que el eje vertical es «total» y la consulta devolvió la columna como «suma». Todo «funciona» —hay datos, hay gráfica— y la gráfica sale vacía. Como en ese punto ya se conocen las columnas reales, el módulo lo corrige y deja constancia del ajuste en la respuesta.</w:t>
      </w:r>
    </w:p>
    <w:p>
      <w:pPr>
        <w:pStyle w:val="Heading1"/>
        <w:spacing w:after="180" w:before="360"/>
      </w:pPr>
      <w:r>
        <w:rPr>
          <w:rFonts w:ascii="Calibri" w:cs="Calibri" w:eastAsia="Calibri" w:hAnsi="Calibri"/>
          <w:b/>
          <w:bCs/>
          <w:color w:val="0B0B0B"/>
          <w:sz w:val="30"/>
          <w:szCs w:val="30"/>
        </w:rPr>
        <w:t xml:space="preserve">3. Seguridad</w:t>
      </w:r>
    </w:p>
    <w:p>
      <w:pPr>
        <w:spacing w:after="140" w:line="276"/>
      </w:pPr>
      <w:r>
        <w:rPr>
          <w:rFonts w:ascii="Calibri" w:cs="Calibri" w:eastAsia="Calibri" w:hAnsi="Calibri"/>
        </w:rPr>
        <w:t xml:space="preserve">Un módulo que deja a un modelo de lenguaje escribir SQL contra una base de producción necesita más que buena voluntad. La protección son cuatro barreras independientes: ninguna basta por sí sola y ninguna depende de que las otras funcionen.</w:t>
      </w:r>
    </w:p>
    <w:tbl>
      <w:tblPr>
        <w:tblW w:type="dxa" w:w="9360"/>
        <w:tblBorders>
          <w:top w:val="single" w:color="D8D8D2" w:sz="2"/>
          <w:left w:val="none" w:color="FFFFFF" w:sz="0"/>
          <w:bottom w:val="single" w:color="D8D8D2" w:sz="2"/>
          <w:right w:val="none" w:color="FFFFFF" w:sz="0"/>
          <w:insideH w:val="single" w:color="E7E6E1" w:sz="1"/>
          <w:insideV w:val="none" w:color="FFFFFF" w:sz="0"/>
        </w:tblBorders>
      </w:tblPr>
      <w:tblGrid>
        <w:gridCol w:w="2059"/>
        <w:gridCol w:w="3744"/>
        <w:gridCol w:w="3557"/>
      </w:tblGrid>
      <w:tr>
        <w:trPr>
          <w:tblHeader/>
        </w:trPr>
        <w:tc>
          <w:tcPr>
            <w:tcW w:type="dxa" w:w="2059"/>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Barrera</w:t>
            </w:r>
          </w:p>
        </w:tc>
        <w:tc>
          <w:tcPr>
            <w:tcW w:type="dxa" w:w="3744"/>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Qué hace</w:t>
            </w:r>
          </w:p>
        </w:tc>
        <w:tc>
          <w:tcPr>
            <w:tcW w:type="dxa" w:w="3557"/>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De qué protege</w:t>
            </w:r>
          </w:p>
        </w:tc>
      </w:tr>
      <w:tr>
        <w:tc>
          <w:tcPr>
            <w:tcW w:type="dxa" w:w="2059"/>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1. Validación previa</w:t>
            </w:r>
          </w:p>
        </w:tc>
        <w:tc>
          <w:tcPr>
            <w:tcW w:type="dxa" w:w="374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Un solo enunciado, debe empezar con SELECT o WITH, sin palabras de escritura fuera de literales, sin catálogos del sistema, sin columnas ocultas y solo sobre las relaciones expuestas.</w:t>
            </w:r>
          </w:p>
        </w:tc>
        <w:tc>
          <w:tcPr>
            <w:tcW w:type="dxa" w:w="3557"/>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De la inmensa mayoría de los intentos, maliciosos o accidentales.</w:t>
            </w:r>
          </w:p>
        </w:tc>
      </w:tr>
      <w:tr>
        <w:tc>
          <w:tcPr>
            <w:tcW w:type="dxa" w:w="2059"/>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2. Rol de base de datos</w:t>
            </w:r>
          </w:p>
        </w:tc>
        <w:tc>
          <w:tcPr>
            <w:tcW w:type="dxa" w:w="374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La conexión se hace con un usuario que solo tiene permiso de lectura.</w:t>
            </w:r>
          </w:p>
        </w:tc>
        <w:tc>
          <w:tcPr>
            <w:tcW w:type="dxa" w:w="3557"/>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Es la única barrera que no depende de que el código sea perfecto. Si el validador tuviera un hueco, el motor rechaza igual.</w:t>
            </w:r>
          </w:p>
        </w:tc>
      </w:tr>
      <w:tr>
        <w:tc>
          <w:tcPr>
            <w:tcW w:type="dxa" w:w="2059"/>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3. Transacción de solo lectura</w:t>
            </w:r>
          </w:p>
        </w:tc>
        <w:tc>
          <w:tcPr>
            <w:tcW w:type="dxa" w:w="374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La transacción se abre en modo lectura y con tiempo máximo por consulta.</w:t>
            </w:r>
          </w:p>
        </w:tc>
        <w:tc>
          <w:tcPr>
            <w:tcW w:type="dxa" w:w="3557"/>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De una escritura que hubiera burlado el validador, y de una consulta que tumbe la base por lenta.</w:t>
            </w:r>
          </w:p>
        </w:tc>
      </w:tr>
      <w:tr>
        <w:tc>
          <w:tcPr>
            <w:tcW w:type="dxa" w:w="2059"/>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4. Tope al traer las filas</w:t>
            </w:r>
          </w:p>
        </w:tc>
        <w:tc>
          <w:tcPr>
            <w:tcW w:type="dxa" w:w="374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El número de filas se corta al leerlas, no confiando en el LIMIT del texto.</w:t>
            </w:r>
          </w:p>
        </w:tc>
        <w:tc>
          <w:tcPr>
            <w:tcW w:type="dxa" w:w="3557"/>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Funciona incluso en motores que no soportan LIMIT, como SQL Server.</w:t>
            </w:r>
          </w:p>
        </w:tc>
      </w:tr>
    </w:tbl>
    <w:p>
      <w:pPr>
        <w:spacing w:after="160"/>
      </w:pPr>
    </w:p>
    <w:p>
      <w:pPr>
        <w:pStyle w:val="Heading2"/>
        <w:spacing w:after="120" w:before="260"/>
      </w:pPr>
      <w:r>
        <w:rPr>
          <w:rFonts w:ascii="Calibri" w:cs="Calibri" w:eastAsia="Calibri" w:hAnsi="Calibri"/>
          <w:b/>
          <w:bCs/>
          <w:color w:val="2A78D6"/>
          <w:sz w:val="24"/>
          <w:szCs w:val="24"/>
        </w:rPr>
        <w:t xml:space="preserve">Por qué no basta con «que empiece con SELECT»</w:t>
      </w:r>
    </w:p>
    <w:p>
      <w:pPr>
        <w:spacing w:after="140" w:line="276"/>
      </w:pPr>
      <w:r>
        <w:rPr>
          <w:rFonts w:ascii="Calibri" w:cs="Calibri" w:eastAsia="Calibri" w:hAnsi="Calibri"/>
        </w:rPr>
        <w:t xml:space="preserve">Es la validación que se escribe primero y no detiene nada de lo que importa. Todos estos empiezan con SELECT:</w:t>
      </w:r>
    </w:p>
    <w:p>
      <w:pPr>
        <w:shd w:fill="F5F5F3" w:val="clear"/>
        <w:spacing w:after="160" w:before="60"/>
        <w:ind w:left="200"/>
      </w:pPr>
      <w:r>
        <w:rPr>
          <w:rFonts w:ascii="Consolas" w:cs="Consolas" w:eastAsia="Consolas" w:hAnsi="Consolas"/>
          <w:color w:val="1A1A19"/>
          <w:sz w:val="18"/>
          <w:szCs w:val="18"/>
        </w:rPr>
        <w:t xml:space="preserve">SELECT 1; DROP TABLE facturas                  -- dos enunciados</w:t>
      </w:r>
    </w:p>
    <w:p>
      <w:pPr>
        <w:shd w:fill="F5F5F3" w:val="clear"/>
        <w:spacing w:after="160" w:before="60"/>
        <w:ind w:left="200"/>
      </w:pPr>
      <w:r>
        <w:rPr>
          <w:rFonts w:ascii="Consolas" w:cs="Consolas" w:eastAsia="Consolas" w:hAnsi="Consolas"/>
          <w:color w:val="1A1A19"/>
          <w:sz w:val="18"/>
          <w:szCs w:val="18"/>
        </w:rPr>
        <w:t xml:space="preserve">SELECT * FROM usuarios INTO OUTFILE '/tmp/x'   -- escribe en disco</w:t>
      </w:r>
    </w:p>
    <w:p>
      <w:pPr>
        <w:shd w:fill="F5F5F3" w:val="clear"/>
        <w:spacing w:after="160" w:before="60"/>
        <w:ind w:left="200"/>
      </w:pPr>
      <w:r>
        <w:rPr>
          <w:rFonts w:ascii="Consolas" w:cs="Consolas" w:eastAsia="Consolas" w:hAnsi="Consolas"/>
          <w:color w:val="1A1A19"/>
          <w:sz w:val="18"/>
          <w:szCs w:val="18"/>
        </w:rPr>
        <w:t xml:space="preserve">SELECT pg_read_file('/etc/passwd')             -- lee el sistema</w:t>
      </w:r>
    </w:p>
    <w:p>
      <w:pPr>
        <w:shd w:fill="F5F5F3" w:val="clear"/>
        <w:spacing w:after="160" w:before="60"/>
        <w:ind w:left="200"/>
      </w:pPr>
      <w:r>
        <w:rPr>
          <w:rFonts w:ascii="Consolas" w:cs="Consolas" w:eastAsia="Consolas" w:hAnsi="Consolas"/>
          <w:color w:val="1A1A19"/>
          <w:sz w:val="18"/>
          <w:szCs w:val="18"/>
        </w:rPr>
        <w:t xml:space="preserve">SELECT contrasena FROM usuarios                -- fuga, y es válido</w:t>
      </w:r>
    </w:p>
    <w:p>
      <w:pPr>
        <w:spacing w:after="140" w:line="276"/>
      </w:pPr>
      <w:r>
        <w:rPr>
          <w:rFonts w:ascii="Calibri" w:cs="Calibri" w:eastAsia="Calibri" w:hAnsi="Calibri"/>
        </w:rPr>
        <w:t xml:space="preserve">Y este ni siquiera empieza con SELECT, aunque escribe:</w:t>
      </w:r>
    </w:p>
    <w:p>
      <w:pPr>
        <w:shd w:fill="F5F5F3" w:val="clear"/>
        <w:spacing w:after="160" w:before="60"/>
        <w:ind w:left="200"/>
      </w:pPr>
      <w:r>
        <w:rPr>
          <w:rFonts w:ascii="Consolas" w:cs="Consolas" w:eastAsia="Consolas" w:hAnsi="Consolas"/>
          <w:color w:val="1A1A19"/>
          <w:sz w:val="18"/>
          <w:szCs w:val="18"/>
        </w:rPr>
        <w:t xml:space="preserve">WITH x AS (DELETE FROM facturas RETURNING *) SELECT * FROM x</w:t>
      </w:r>
    </w:p>
    <w:p>
      <w:pPr>
        <w:spacing w:after="160"/>
      </w:pPr>
    </w:p>
    <w:p>
      <w:pPr>
        <w:pStyle w:val="Heading2"/>
        <w:spacing w:after="120" w:before="260"/>
      </w:pPr>
      <w:r>
        <w:rPr>
          <w:rFonts w:ascii="Calibri" w:cs="Calibri" w:eastAsia="Calibri" w:hAnsi="Calibri"/>
          <w:b/>
          <w:bCs/>
          <w:color w:val="2A78D6"/>
          <w:sz w:val="24"/>
          <w:szCs w:val="24"/>
        </w:rPr>
        <w:t xml:space="preserve">El equilibrio que se buscó</w:t>
      </w:r>
    </w:p>
    <w:p>
      <w:pPr>
        <w:spacing w:after="140" w:line="276"/>
      </w:pPr>
      <w:r>
        <w:rPr>
          <w:rFonts w:ascii="Calibri" w:cs="Calibri" w:eastAsia="Calibri" w:hAnsi="Calibri"/>
        </w:rPr>
        <w:t xml:space="preserve">Un validador que rechaza todo es seguro y también inútil: cada falso positivo es una pregunta legítima que el usuario ve fallar sin entender por qué, y la reacción no es reformular, es dejar de usar la herramienta. Por eso la validación se apoya en una distinción fina.</w:t>
      </w:r>
    </w:p>
    <w:p>
      <w:pPr>
        <w:spacing w:after="140" w:line="276"/>
      </w:pPr>
      <w:r>
        <w:rPr>
          <w:rFonts w:ascii="Calibri" w:cs="Calibri" w:eastAsia="Calibri" w:hAnsi="Calibri"/>
        </w:rPr>
        <w:t xml:space="preserve">El texto se inspecciona sobre un «esqueleto» con los literales vaciados, de modo que una consulta que busca la palabra «update» dentro de un campo de texto no se confunde con una orden de actualización. Pero lo que se ejecuta es la consulta real, con sus literales intactos.</w:t>
      </w:r>
    </w:p>
    <w:p>
      <w:pPr>
        <w:spacing w:after="140" w:line="276"/>
      </w:pPr>
      <w:r>
        <w:rPr>
          <w:rFonts w:ascii="Calibri" w:cs="Calibri" w:eastAsia="Calibri" w:hAnsi="Calibri"/>
        </w:rPr>
        <w:t xml:space="preserve">La suite de pruebas cubre las dos mitades: trece ataques que deben caer, y ocho consultas legítimas que no deben caer.</w:t>
      </w:r>
    </w:p>
    <w:p>
      <w:pPr>
        <w:pStyle w:val="Heading1"/>
        <w:spacing w:after="180" w:before="360"/>
      </w:pPr>
      <w:r>
        <w:rPr>
          <w:rFonts w:ascii="Calibri" w:cs="Calibri" w:eastAsia="Calibri" w:hAnsi="Calibri"/>
          <w:b/>
          <w:bCs/>
          <w:color w:val="0B0B0B"/>
          <w:sz w:val="30"/>
          <w:szCs w:val="30"/>
        </w:rPr>
        <w:t xml:space="preserve">4. Qué ve el modelo, y por qué importa tanto</w:t>
      </w:r>
    </w:p>
    <w:p>
      <w:pPr>
        <w:spacing w:after="140" w:line="276"/>
      </w:pPr>
      <w:r>
        <w:rPr>
          <w:rFonts w:ascii="Calibri" w:cs="Calibri" w:eastAsia="Calibri" w:hAnsi="Calibri"/>
        </w:rPr>
        <w:t xml:space="preserve">La calidad de las respuestas depende menos del modelo que de lo que se le muestra. Tres decisiones de configuración explican la mayor parte de la diferencia entre «a veces acierta» y «se puede usar».</w:t>
      </w:r>
    </w:p>
    <w:p>
      <w:pPr>
        <w:pStyle w:val="Heading2"/>
        <w:spacing w:after="120" w:before="260"/>
      </w:pPr>
      <w:r>
        <w:rPr>
          <w:rFonts w:ascii="Calibri" w:cs="Calibri" w:eastAsia="Calibri" w:hAnsi="Calibri"/>
          <w:b/>
          <w:bCs/>
          <w:color w:val="2A78D6"/>
          <w:sz w:val="24"/>
          <w:szCs w:val="24"/>
        </w:rPr>
        <w:t xml:space="preserve">Filtrar antes de generar</w:t>
      </w:r>
    </w:p>
    <w:p>
      <w:pPr>
        <w:spacing w:after="140" w:line="276"/>
      </w:pPr>
      <w:r>
        <w:rPr>
          <w:rFonts w:ascii="Calibri" w:cs="Calibri" w:eastAsia="Calibri" w:hAnsi="Calibri"/>
        </w:rPr>
        <w:t xml:space="preserve">Entregarle las 120 tablas de un ERP al modelo cuesta miles de tokens y la mitad son infraestructura de la aplicación. Un contexto grande no solo es lento: hace que el modelo invente uniones entre tablas que no tienen relación. La configuración recomendada en producción es una lista blanca que nombre explícitamente lo consultable.</w:t>
      </w:r>
    </w:p>
    <w:p>
      <w:pPr>
        <w:pStyle w:val="Heading2"/>
        <w:spacing w:after="120" w:before="260"/>
      </w:pPr>
      <w:r>
        <w:rPr>
          <w:rFonts w:ascii="Calibri" w:cs="Calibri" w:eastAsia="Calibri" w:hAnsi="Calibri"/>
          <w:b/>
          <w:bCs/>
          <w:color w:val="2A78D6"/>
          <w:sz w:val="24"/>
          <w:szCs w:val="24"/>
        </w:rPr>
        <w:t xml:space="preserve">Valores de ejemplo</w:t>
      </w:r>
    </w:p>
    <w:p>
      <w:pPr>
        <w:spacing w:after="140" w:line="276"/>
      </w:pPr>
      <w:r>
        <w:rPr>
          <w:rFonts w:ascii="Calibri" w:cs="Calibri" w:eastAsia="Calibri" w:hAnsi="Calibri"/>
        </w:rPr>
        <w:t xml:space="preserve">Es la mejora de precisión más grande por el menor esfuerzo. Sin ella, el modelo escribe una condición sobre «pagada» cuando la base guarda «PAGADO», y la consulta devuelve cero filas sin error alguno. Con ella activada, el módulo muestra unos cuantos valores reales de cada columna categórica.</w:t>
      </w:r>
    </w:p>
    <w:p>
      <w:pPr>
        <w:pStyle w:val="Heading2"/>
        <w:spacing w:after="120" w:before="260"/>
      </w:pPr>
      <w:r>
        <w:rPr>
          <w:rFonts w:ascii="Calibri" w:cs="Calibri" w:eastAsia="Calibri" w:hAnsi="Calibri"/>
          <w:b/>
          <w:bCs/>
          <w:color w:val="2A78D6"/>
          <w:sz w:val="24"/>
          <w:szCs w:val="24"/>
        </w:rPr>
        <w:t xml:space="preserve">Comentarios de columna</w:t>
      </w:r>
    </w:p>
    <w:p>
      <w:pPr>
        <w:spacing w:after="140" w:line="276"/>
      </w:pPr>
      <w:r>
        <w:rPr>
          <w:rFonts w:ascii="Calibri" w:cs="Calibri" w:eastAsia="Calibri" w:hAnsi="Calibri"/>
        </w:rPr>
        <w:t xml:space="preserve">El esquema dice que existe una columna «total». No dice que esa es la venta con impuestos y que la venta neta es otra, ni que una fila con cierto estado todavía no vendió nada. El módulo lee los comentarios del catálogo de la base y los inyecta. Es la clase de conocimiento que el modelo no puede adivinar y cuya ausencia produce números creíbles y equivocados.</w:t>
      </w:r>
    </w:p>
    <w:p>
      <w:pPr>
        <w:pStyle w:val="Heading1"/>
        <w:spacing w:after="180" w:before="360"/>
      </w:pPr>
      <w:r>
        <w:rPr>
          <w:rFonts w:ascii="Calibri" w:cs="Calibri" w:eastAsia="Calibri" w:hAnsi="Calibri"/>
          <w:b/>
          <w:bCs/>
          <w:color w:val="0B0B0B"/>
          <w:sz w:val="30"/>
          <w:szCs w:val="30"/>
        </w:rPr>
        <w:t xml:space="preserve">5. Visualización</w:t>
      </w:r>
    </w:p>
    <w:p>
      <w:pPr>
        <w:spacing w:after="140" w:line="276"/>
      </w:pPr>
      <w:r>
        <w:rPr>
          <w:rFonts w:ascii="Calibri" w:cs="Calibri" w:eastAsia="Calibri" w:hAnsi="Calibri"/>
        </w:rPr>
        <w:t xml:space="preserve">El frontend dibuja seis formas: barras, líneas, área, pastel, tarjeta de indicador y tabla. Las reglas de dibujo están fijadas en el código, no delegadas al gusto de cada pantalla.</w:t>
      </w:r>
    </w:p>
    <w:p>
      <w:pPr>
        <w:pStyle w:val="ListParagraph"/>
        <w:numPr>
          <w:ilvl w:val="0"/>
          <w:numId w:val="2"/>
        </w:numPr>
        <w:spacing w:after="90" w:line="276"/>
      </w:pPr>
      <w:r>
        <w:rPr>
          <w:rFonts w:ascii="Calibri" w:cs="Calibri" w:eastAsia="Calibri" w:hAnsi="Calibri"/>
        </w:rPr>
        <w:t xml:space="preserve">Un solo eje vertical. Nunca dos escalas en la misma gráfica: es el error más común de los tableros y hace que dos series parezcan cruzarse cuando no tienen nada que ver.</w:t>
      </w:r>
    </w:p>
    <w:p>
      <w:pPr>
        <w:pStyle w:val="ListParagraph"/>
        <w:numPr>
          <w:ilvl w:val="0"/>
          <w:numId w:val="2"/>
        </w:numPr>
        <w:spacing w:after="90" w:line="276"/>
      </w:pPr>
      <w:r>
        <w:rPr>
          <w:rFonts w:ascii="Calibri" w:cs="Calibri" w:eastAsia="Calibri" w:hAnsi="Calibri"/>
        </w:rPr>
        <w:t xml:space="preserve">Los colores no se reciclan. La paleta tiene ocho tonos, validados para daltonismo en modo claro y oscuro con una herramienta de medición, no por criterio propio. La novena categoría no vuelve a empezar por el primer color: se agrupa en «Otros», en gris. Dos rebanadas del mismo color en un pastel son una afirmación falsa.</w:t>
      </w:r>
    </w:p>
    <w:p>
      <w:pPr>
        <w:pStyle w:val="ListParagraph"/>
        <w:numPr>
          <w:ilvl w:val="0"/>
          <w:numId w:val="2"/>
        </w:numPr>
        <w:spacing w:after="90" w:line="276"/>
      </w:pPr>
      <w:r>
        <w:rPr>
          <w:rFonts w:ascii="Calibri" w:cs="Calibri" w:eastAsia="Calibri" w:hAnsi="Calibri"/>
        </w:rPr>
        <w:t xml:space="preserve">Leyenda solo donde el color es la identidad. Una barra por categoría no necesita caja de leyenda —el eje ya nombra cada barra—; un pastel sí.</w:t>
      </w:r>
    </w:p>
    <w:p>
      <w:pPr>
        <w:pStyle w:val="ListParagraph"/>
        <w:numPr>
          <w:ilvl w:val="0"/>
          <w:numId w:val="2"/>
        </w:numPr>
        <w:spacing w:after="90" w:line="276"/>
      </w:pPr>
      <w:r>
        <w:rPr>
          <w:rFonts w:ascii="Calibri" w:cs="Calibri" w:eastAsia="Calibri" w:hAnsi="Calibri"/>
        </w:rPr>
        <w:t xml:space="preserve">Toda gráfica trae su tabla a un clic. Es la vista accesible, y además lo que exige la paleta: tres de sus tonos quedan por debajo del contraste mínimo sobre fondo claro, y en ese caso la identidad no puede depender solo del color.</w:t>
      </w:r>
    </w:p>
    <w:p>
      <w:pPr>
        <w:pStyle w:val="ListParagraph"/>
        <w:numPr>
          <w:ilvl w:val="0"/>
          <w:numId w:val="2"/>
        </w:numPr>
        <w:spacing w:after="90" w:line="276"/>
      </w:pPr>
      <w:r>
        <w:rPr>
          <w:rFonts w:ascii="Calibri" w:cs="Calibri" w:eastAsia="Calibri" w:hAnsi="Calibri"/>
        </w:rPr>
        <w:t xml:space="preserve">Sin animación de entrada. En un tablero no aporta información y sí introduce un fallo real, descrito en la sección 7.</w:t>
      </w:r>
    </w:p>
    <w:p>
      <w:pPr>
        <w:spacing w:after="160"/>
      </w:pPr>
    </w:p>
    <w:p>
      <w:pPr>
        <w:spacing w:after="140" w:line="276"/>
      </w:pPr>
      <w:r>
        <w:rPr>
          <w:rFonts w:ascii="Calibri" w:cs="Calibri" w:eastAsia="Calibri" w:hAnsi="Calibri"/>
        </w:rPr>
        <w:t xml:space="preserve">El módulo se adapta además a lo que devolvió la consulta: si el resultado es un solo número, se dibuja como tarjeta aunque el modelo hubiera pedido barras; si no hay una columna categórica y una numérica, se muestra como tabla, que siempre sirve.</w:t>
      </w:r>
    </w:p>
    <w:p>
      <w:r>
        <w:br w:type="page"/>
      </w:r>
    </w:p>
    <w:p>
      <w:pPr>
        <w:pStyle w:val="Heading1"/>
        <w:spacing w:after="180" w:before="360"/>
      </w:pPr>
      <w:r>
        <w:rPr>
          <w:rFonts w:ascii="Calibri" w:cs="Calibri" w:eastAsia="Calibri" w:hAnsi="Calibri"/>
          <w:b/>
          <w:bCs/>
          <w:color w:val="0B0B0B"/>
          <w:sz w:val="30"/>
          <w:szCs w:val="30"/>
        </w:rPr>
        <w:t xml:space="preserve">6. Resultados de la validación</w:t>
      </w:r>
    </w:p>
    <w:p>
      <w:pPr>
        <w:spacing w:after="140" w:line="276"/>
      </w:pPr>
      <w:r>
        <w:rPr>
          <w:rFonts w:ascii="Calibri" w:cs="Calibri" w:eastAsia="Calibri" w:hAnsi="Calibri"/>
        </w:rPr>
        <w:t xml:space="preserve">74 pruebas automatizadas, en verde. Se ejecutan sin red y sin modelo de lenguaje: lo que se prueba es el módulo, no si un modelo acierta. Confundir ambas cosas hace que una prueba en rojo no diga si se rompió el código o si el modelo tuvo un mal día.</w:t>
      </w:r>
    </w:p>
    <w:p>
      <w:pPr>
        <w:pStyle w:val="Heading2"/>
        <w:spacing w:after="120" w:before="260"/>
      </w:pPr>
      <w:r>
        <w:rPr>
          <w:rFonts w:ascii="Calibri" w:cs="Calibri" w:eastAsia="Calibri" w:hAnsi="Calibri"/>
          <w:b/>
          <w:bCs/>
          <w:color w:val="2A78D6"/>
          <w:sz w:val="24"/>
          <w:szCs w:val="24"/>
        </w:rPr>
        <w:t xml:space="preserve">Matriz de casos funcionales</w:t>
      </w:r>
    </w:p>
    <w:tbl>
      <w:tblPr>
        <w:tblW w:type="dxa" w:w="9360"/>
        <w:tblBorders>
          <w:top w:val="single" w:color="D8D8D2" w:sz="2"/>
          <w:left w:val="none" w:color="FFFFFF" w:sz="0"/>
          <w:bottom w:val="single" w:color="D8D8D2" w:sz="2"/>
          <w:right w:val="none" w:color="FFFFFF" w:sz="0"/>
          <w:insideH w:val="single" w:color="E7E6E1" w:sz="1"/>
          <w:insideV w:val="none" w:color="FFFFFF" w:sz="0"/>
        </w:tblBorders>
      </w:tblPr>
      <w:tblGrid>
        <w:gridCol w:w="655"/>
        <w:gridCol w:w="2246"/>
        <w:gridCol w:w="6458"/>
      </w:tblGrid>
      <w:tr>
        <w:trPr>
          <w:tblHeader/>
        </w:trPr>
        <w:tc>
          <w:tcPr>
            <w:tcW w:type="dxa" w:w="655"/>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w:t>
            </w:r>
          </w:p>
        </w:tc>
        <w:tc>
          <w:tcPr>
            <w:tcW w:type="dxa" w:w="2246"/>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Caso</w:t>
            </w:r>
          </w:p>
        </w:tc>
        <w:tc>
          <w:tcPr>
            <w:tcW w:type="dxa" w:w="6458"/>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Se verifica</w:t>
            </w:r>
          </w:p>
        </w:tc>
      </w:tr>
      <w:tr>
        <w:tc>
          <w:tcPr>
            <w:tcW w:type="dxa" w:w="65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1</w:t>
            </w:r>
          </w:p>
        </w:tc>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Indicador simple</w:t>
            </w:r>
          </w:p>
        </w:tc>
        <w:tc>
          <w:tcPr>
            <w:tcW w:type="dxa" w:w="645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Una fila, un valor numérico real (no una cadena: los importes llegan como decimales y deben convertirse).</w:t>
            </w:r>
          </w:p>
        </w:tc>
      </w:tr>
      <w:tr>
        <w:tc>
          <w:tcPr>
            <w:tcW w:type="dxa" w:w="65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2</w:t>
            </w:r>
          </w:p>
        </w:tc>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Tendencia temporal</w:t>
            </w:r>
          </w:p>
        </w:tc>
        <w:tc>
          <w:tcPr>
            <w:tcW w:type="dxa" w:w="645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Doce meses, eje horizontal correcto, serie efectivamente ordenada.</w:t>
            </w:r>
          </w:p>
        </w:tc>
      </w:tr>
      <w:tr>
        <w:tc>
          <w:tcPr>
            <w:tcW w:type="dxa" w:w="65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3</w:t>
            </w:r>
          </w:p>
        </w:tc>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Ranking</w:t>
            </w:r>
          </w:p>
        </w:tc>
        <w:tc>
          <w:tcPr>
            <w:tcW w:type="dxa" w:w="645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Cinco resultados, en orden descendente comprobado.</w:t>
            </w:r>
          </w:p>
        </w:tc>
      </w:tr>
      <w:tr>
        <w:tc>
          <w:tcPr>
            <w:tcW w:type="dxa" w:w="65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4</w:t>
            </w:r>
          </w:p>
        </w:tc>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Distribución</w:t>
            </w:r>
          </w:p>
        </w:tc>
        <w:tc>
          <w:tcPr>
            <w:tcW w:type="dxa" w:w="645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Las partes suman el total, contrastado contra la base de datos.</w:t>
            </w:r>
          </w:p>
        </w:tc>
      </w:tr>
      <w:tr>
        <w:tc>
          <w:tcPr>
            <w:tcW w:type="dxa" w:w="65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5</w:t>
            </w:r>
          </w:p>
        </w:tc>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Tablero completo</w:t>
            </w:r>
          </w:p>
        </w:tc>
        <w:tc>
          <w:tcPr>
            <w:tcW w:type="dxa" w:w="645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Cinco widgets, todos con su consulta, dos indicadores más línea, pastel y barras.</w:t>
            </w:r>
          </w:p>
        </w:tc>
      </w:tr>
      <w:tr>
        <w:tc>
          <w:tcPr>
            <w:tcW w:type="dxa" w:w="65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6</w:t>
            </w:r>
          </w:p>
        </w:tc>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Petición destructiva</w:t>
            </w:r>
          </w:p>
        </w:tc>
        <w:tc>
          <w:tcPr>
            <w:tcW w:type="dxa" w:w="645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Rechazo con código 403 y conteo de filas idéntico antes y después.</w:t>
            </w:r>
          </w:p>
        </w:tc>
      </w:tr>
      <w:tr>
        <w:tc>
          <w:tcPr>
            <w:tcW w:type="dxa" w:w="65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6b</w:t>
            </w:r>
          </w:p>
        </w:tc>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Ataque encubierto</w:t>
            </w:r>
          </w:p>
        </w:tc>
        <w:tc>
          <w:tcPr>
            <w:tcW w:type="dxa" w:w="645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Un tablero donde el modelo colaboró con el ataque y coló un borrado entre los widgets: cae ese y solo ese, los otros responden, y nada se escribe.</w:t>
            </w:r>
          </w:p>
        </w:tc>
      </w:tr>
    </w:tbl>
    <w:p>
      <w:pPr>
        <w:spacing w:after="160"/>
      </w:pPr>
    </w:p>
    <w:p>
      <w:pPr>
        <w:spacing w:after="140" w:line="276"/>
      </w:pPr>
      <w:r>
        <w:rPr>
          <w:rFonts w:ascii="Calibri" w:cs="Calibri" w:eastAsia="Calibri" w:hAnsi="Calibri"/>
        </w:rPr>
        <w:t xml:space="preserve">El caso 6b es el que verdaderamente importa. El caso 6 depende de que el modelo se niegue, y la negativa de un modelo es una cortesía, no una barrera. El 6b asume que el modelo colaboró y comprueba que el módulo lo detiene igual.</w:t>
      </w:r>
    </w:p>
    <w:p>
      <w:pPr>
        <w:pStyle w:val="Heading2"/>
        <w:spacing w:after="120" w:before="260"/>
      </w:pPr>
      <w:r>
        <w:rPr>
          <w:rFonts w:ascii="Calibri" w:cs="Calibri" w:eastAsia="Calibri" w:hAnsi="Calibri"/>
          <w:b/>
          <w:bCs/>
          <w:color w:val="2A78D6"/>
          <w:sz w:val="24"/>
          <w:szCs w:val="24"/>
        </w:rPr>
        <w:t xml:space="preserve">Batería de seguridad</w:t>
      </w:r>
    </w:p>
    <w:tbl>
      <w:tblPr>
        <w:tblW w:type="dxa" w:w="9360"/>
        <w:tblBorders>
          <w:top w:val="single" w:color="D8D8D2" w:sz="2"/>
          <w:left w:val="none" w:color="FFFFFF" w:sz="0"/>
          <w:bottom w:val="single" w:color="D8D8D2" w:sz="2"/>
          <w:right w:val="none" w:color="FFFFFF" w:sz="0"/>
          <w:insideH w:val="single" w:color="E7E6E1" w:sz="1"/>
          <w:insideV w:val="none" w:color="FFFFFF" w:sz="0"/>
        </w:tblBorders>
      </w:tblPr>
      <w:tblGrid>
        <w:gridCol w:w="2434"/>
        <w:gridCol w:w="936"/>
        <w:gridCol w:w="5990"/>
      </w:tblGrid>
      <w:tr>
        <w:trPr>
          <w:tblHeader/>
        </w:trPr>
        <w:tc>
          <w:tcPr>
            <w:tcW w:type="dxa" w:w="2434"/>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Grupo</w:t>
            </w:r>
          </w:p>
        </w:tc>
        <w:tc>
          <w:tcPr>
            <w:tcW w:type="dxa" w:w="936"/>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Cantidad</w:t>
            </w:r>
          </w:p>
        </w:tc>
        <w:tc>
          <w:tcPr>
            <w:tcW w:type="dxa" w:w="5990"/>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Contenido</w:t>
            </w:r>
          </w:p>
        </w:tc>
      </w:tr>
      <w:tr>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Ataques que deben caer</w:t>
            </w:r>
          </w:p>
        </w:tc>
        <w:tc>
          <w:tcPr>
            <w:tcW w:type="dxa" w:w="93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13</w:t>
            </w:r>
          </w:p>
        </w:tc>
        <w:tc>
          <w:tcPr>
            <w:tcW w:type="dxa" w:w="5990"/>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Enunciado encadenado, escritura directa, actualización directa, expresión común que escribe, volcado a tabla nueva, tabla filtrada por política, tabla inexistente, catálogo del sistema, columna sensible, unión hacia lo filtrado, adjuntar otra base, consulta sin origen, consulta vacía.</w:t>
            </w:r>
          </w:p>
        </w:tc>
      </w:tr>
      <w:tr>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Funciones peligrosas por motor</w:t>
            </w:r>
          </w:p>
        </w:tc>
        <w:tc>
          <w:tcPr>
            <w:tcW w:type="dxa" w:w="93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5</w:t>
            </w:r>
          </w:p>
        </w:tc>
        <w:tc>
          <w:tcPr>
            <w:tcW w:type="dxa" w:w="5990"/>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Lectura de archivos y suspensión en PostgreSQL, carga de archivos en MySQL, ejecución de comandos en SQL Server, carga de extensiones en SQLite. Lo inofensivo en un motor es una fuga en otro.</w:t>
            </w:r>
          </w:p>
        </w:tc>
      </w:tr>
      <w:tr>
        <w:tc>
          <w:tcPr>
            <w:tcW w:type="dxa" w:w="243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Consultas legítimas que NO deben caer</w:t>
            </w:r>
          </w:p>
        </w:tc>
        <w:tc>
          <w:tcPr>
            <w:tcW w:type="dxa" w:w="93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8</w:t>
            </w:r>
          </w:p>
        </w:tc>
        <w:tc>
          <w:tcPr>
            <w:tcW w:type="dxa" w:w="5990"/>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Literales que contienen palabras reservadas, función de reemplazo de texto, expresión común de lectura, unión de tres tablas, subconsulta, comentario final, punto y coma final.</w:t>
            </w:r>
          </w:p>
        </w:tc>
      </w:tr>
    </w:tbl>
    <w:p>
      <w:pPr>
        <w:spacing w:after="160"/>
      </w:pPr>
    </w:p>
    <w:p>
      <w:pPr>
        <w:pStyle w:val="Heading2"/>
        <w:spacing w:after="120" w:before="260"/>
      </w:pPr>
      <w:r>
        <w:rPr>
          <w:rFonts w:ascii="Calibri" w:cs="Calibri" w:eastAsia="Calibri" w:hAnsi="Calibri"/>
          <w:b/>
          <w:bCs/>
          <w:color w:val="2A78D6"/>
          <w:sz w:val="24"/>
          <w:szCs w:val="24"/>
        </w:rPr>
        <w:t xml:space="preserve">Verificación de la interfaz</w:t>
      </w:r>
    </w:p>
    <w:p>
      <w:pPr>
        <w:spacing w:after="140" w:line="276"/>
      </w:pPr>
      <w:r>
        <w:rPr>
          <w:rFonts w:ascii="Calibri" w:cs="Calibri" w:eastAsia="Calibri" w:hAnsi="Calibri"/>
        </w:rPr>
        <w:t xml:space="preserve">Realizada en un navegador real, no por inspección de código: tablero de cinco widgets, respuesta de una sola gráfica, camino de rechazo por seguridad, modo claro y oscuro, alternancia entre gráfica y tabla. Se midió además, sobre el documento renderizado, que cada rebanada del pastel corresponde con su entrada en la leyenda —un emparejamiento equivocado sería un error grave y silencioso— y que la altura de las barras es proporcional al área de trazado.</w:t>
      </w:r>
    </w:p>
    <w:p>
      <w:pPr>
        <w:pStyle w:val="Heading1"/>
        <w:spacing w:after="180" w:before="360"/>
      </w:pPr>
      <w:r>
        <w:rPr>
          <w:rFonts w:ascii="Calibri" w:cs="Calibri" w:eastAsia="Calibri" w:hAnsi="Calibri"/>
          <w:b/>
          <w:bCs/>
          <w:color w:val="0B0B0B"/>
          <w:sz w:val="30"/>
          <w:szCs w:val="30"/>
        </w:rPr>
        <w:t xml:space="preserve">7. Defectos encontrados al verificar</w:t>
      </w:r>
    </w:p>
    <w:p>
      <w:pPr>
        <w:spacing w:after="140" w:line="276"/>
      </w:pPr>
      <w:r>
        <w:rPr>
          <w:rFonts w:ascii="Calibri" w:cs="Calibri" w:eastAsia="Calibri" w:hAnsi="Calibri"/>
        </w:rPr>
        <w:t xml:space="preserve">Los tres aparecieron al ejecutar y mirar el resultado, no al escribir el código. Se documentan porque describen modos de fallo que volverán a presentarse.</w:t>
      </w:r>
    </w:p>
    <w:p>
      <w:pPr>
        <w:pStyle w:val="Heading2"/>
        <w:spacing w:after="120" w:before="260"/>
      </w:pPr>
      <w:r>
        <w:rPr>
          <w:rFonts w:ascii="Calibri" w:cs="Calibri" w:eastAsia="Calibri" w:hAnsi="Calibri"/>
          <w:b/>
          <w:bCs/>
          <w:color w:val="2A78D6"/>
          <w:sz w:val="24"/>
          <w:szCs w:val="24"/>
        </w:rPr>
        <w:t xml:space="preserve">Animación congelada</w:t>
      </w:r>
    </w:p>
    <w:p>
      <w:pPr>
        <w:spacing w:after="140" w:line="276"/>
      </w:pPr>
      <w:r>
        <w:rPr>
          <w:rFonts w:ascii="Calibri" w:cs="Calibri" w:eastAsia="Calibri" w:hAnsi="Calibri"/>
        </w:rPr>
        <w:t xml:space="preserve">Las barras se dibujaban a una décima parte de su altura, con los ejes perfectamente correctos. La animación de entrada avanza con el reloj de dibujo del navegador, que se detiene en una pestaña que no se está pintando; si eso ocurre, la animación queda a medio camino y no termina nunca. Los ejes correctos son lo que hace el error difícil de detectar. Se desactivó la animación.</w:t>
      </w:r>
    </w:p>
    <w:p>
      <w:pPr>
        <w:pStyle w:val="Heading2"/>
        <w:spacing w:after="120" w:before="260"/>
      </w:pPr>
      <w:r>
        <w:rPr>
          <w:rFonts w:ascii="Calibri" w:cs="Calibri" w:eastAsia="Calibri" w:hAnsi="Calibri"/>
          <w:b/>
          <w:bCs/>
          <w:color w:val="2A78D6"/>
          <w:sz w:val="24"/>
          <w:szCs w:val="24"/>
        </w:rPr>
        <w:t xml:space="preserve">Acentos</w:t>
      </w:r>
    </w:p>
    <w:p>
      <w:pPr>
        <w:spacing w:after="140" w:line="276"/>
      </w:pPr>
      <w:r>
        <w:rPr>
          <w:rFonts w:ascii="Calibri" w:cs="Calibri" w:eastAsia="Calibri" w:hAnsi="Calibri"/>
        </w:rPr>
        <w:t xml:space="preserve">Cuando el modelo respondía «gráfico de líneas», la respuesta degradaba a tabla, porque el reconocimiento del tipo de gráfica no normalizaba los acentos —y el modelo contesta en el idioma de la pregunta. Lo detectó la suite de pruebas.</w:t>
      </w:r>
    </w:p>
    <w:p>
      <w:pPr>
        <w:pStyle w:val="Heading2"/>
        <w:spacing w:after="120" w:before="260"/>
      </w:pPr>
      <w:r>
        <w:rPr>
          <w:rFonts w:ascii="Calibri" w:cs="Calibri" w:eastAsia="Calibri" w:hAnsi="Calibri"/>
          <w:b/>
          <w:bCs/>
          <w:color w:val="2A78D6"/>
          <w:sz w:val="24"/>
          <w:szCs w:val="24"/>
        </w:rPr>
        <w:t xml:space="preserve">Literales borrados</w:t>
      </w:r>
    </w:p>
    <w:p>
      <w:pPr>
        <w:spacing w:after="140" w:line="276"/>
      </w:pPr>
      <w:r>
        <w:rPr>
          <w:rFonts w:ascii="Calibri" w:cs="Calibri" w:eastAsia="Calibri" w:hAnsi="Calibri"/>
        </w:rPr>
        <w:t xml:space="preserve">El más serio. El validador inspecciona un esqueleto de la consulta con los literales vaciados, para que una búsqueda de texto no se confunda con una orden de escritura. En la primera versión se ejecutaba ese esqueleto en lugar de la consulta real, de modo que una condición sobre una ciudad se habría ejecutado como una condición sobre una cadena vacía: cero filas, sin error y sin ninguna pista de la causa.</w:t>
      </w:r>
    </w:p>
    <w:p>
      <w:pPr>
        <w:spacing w:after="140" w:line="276"/>
      </w:pPr>
      <w:r>
        <w:rPr>
          <w:rFonts w:ascii="Calibri" w:cs="Calibri" w:eastAsia="Calibri" w:hAnsi="Calibri"/>
        </w:rPr>
        <w:t xml:space="preserve">El mismo defecto existía en un componente equivalente de otro proyecto, del que provino la idea del validador. Se corrigió también allí, con cuatro pruebas de regresión que fallan contra el código anterior.</w:t>
      </w:r>
    </w:p>
    <w:p>
      <w:pPr>
        <w:pStyle w:val="Heading1"/>
        <w:spacing w:after="180" w:before="360"/>
      </w:pPr>
      <w:r>
        <w:rPr>
          <w:rFonts w:ascii="Calibri" w:cs="Calibri" w:eastAsia="Calibri" w:hAnsi="Calibri"/>
          <w:b/>
          <w:bCs/>
          <w:color w:val="0B0B0B"/>
          <w:sz w:val="30"/>
          <w:szCs w:val="30"/>
        </w:rPr>
        <w:t xml:space="preserve">8. Limitaciones conocidas</w:t>
      </w:r>
    </w:p>
    <w:p>
      <w:pPr>
        <w:spacing w:after="140" w:line="276"/>
      </w:pPr>
      <w:r>
        <w:rPr>
          <w:rFonts w:ascii="Calibri" w:cs="Calibri" w:eastAsia="Calibri" w:hAnsi="Calibri"/>
        </w:rPr>
        <w:t xml:space="preserve">Dichas de frente, porque conocerlas antes de desplegar vale más que descubrirlas después.</w:t>
      </w:r>
    </w:p>
    <w:tbl>
      <w:tblPr>
        <w:tblW w:type="dxa" w:w="9360"/>
        <w:tblBorders>
          <w:top w:val="single" w:color="D8D8D2" w:sz="2"/>
          <w:left w:val="none" w:color="FFFFFF" w:sz="0"/>
          <w:bottom w:val="single" w:color="D8D8D2" w:sz="2"/>
          <w:right w:val="none" w:color="FFFFFF" w:sz="0"/>
          <w:insideH w:val="single" w:color="E7E6E1" w:sz="1"/>
          <w:insideV w:val="none" w:color="FFFFFF" w:sz="0"/>
        </w:tblBorders>
      </w:tblPr>
      <w:tblGrid>
        <w:gridCol w:w="3182"/>
        <w:gridCol w:w="6178"/>
      </w:tblGrid>
      <w:tr>
        <w:trPr>
          <w:tblHeader/>
        </w:trPr>
        <w:tc>
          <w:tcPr>
            <w:tcW w:type="dxa" w:w="3182"/>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Limitación</w:t>
            </w:r>
          </w:p>
        </w:tc>
        <w:tc>
          <w:tcPr>
            <w:tcW w:type="dxa" w:w="6178"/>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Implicación</w:t>
            </w:r>
          </w:p>
        </w:tc>
      </w:tr>
      <w:tr>
        <w:tc>
          <w:tcPr>
            <w:tcW w:type="dxa" w:w="318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No incluye autenticación</w:t>
            </w:r>
          </w:p>
        </w:tc>
        <w:tc>
          <w:tcPr>
            <w:tcW w:type="dxa" w:w="617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Debe montarse detrás de la sesión de la aplicación anfitriona, de un proxy autenticado o de una red cerrada. Hay tres puntos de extensión previstos para integrarlo.</w:t>
            </w:r>
          </w:p>
        </w:tc>
      </w:tr>
      <w:tr>
        <w:tc>
          <w:tcPr>
            <w:tcW w:type="dxa" w:w="318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No se probó con volumen real</w:t>
            </w:r>
          </w:p>
        </w:tc>
        <w:tc>
          <w:tcPr>
            <w:tcW w:type="dxa" w:w="617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Toda la validación corre sobre una base de prueba pequeña. El comportamiento del tiempo máximo por consulta bajo carga real no está medido.</w:t>
            </w:r>
          </w:p>
        </w:tc>
      </w:tr>
      <w:tr>
        <w:tc>
          <w:tcPr>
            <w:tcW w:type="dxa" w:w="318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Solo se ejecuta contra SQLite en las pruebas</w:t>
            </w:r>
          </w:p>
        </w:tc>
        <w:tc>
          <w:tcPr>
            <w:tcW w:type="dxa" w:w="617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El código es agnóstico y las reglas propias de cada motor están probadas de forma unitaria, pero antes de conectar a MySQL o SQL Server en producción conviene correr la matriz contra ese motor.</w:t>
            </w:r>
          </w:p>
        </w:tc>
      </w:tr>
      <w:tr>
        <w:tc>
          <w:tcPr>
            <w:tcW w:type="dxa" w:w="318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Las imágenes de Docker no se construyeron</w:t>
            </w:r>
          </w:p>
        </w:tc>
        <w:tc>
          <w:tcPr>
            <w:tcW w:type="dxa" w:w="617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Los archivos de despliegue están escritos y su sintaxis validada, pero la primera construcción debe hacerse en un ambiente de pruebas.</w:t>
            </w:r>
          </w:p>
        </w:tc>
      </w:tr>
      <w:tr>
        <w:tc>
          <w:tcPr>
            <w:tcW w:type="dxa" w:w="318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La exactitud del número depende del modelo</w:t>
            </w:r>
          </w:p>
        </w:tc>
        <w:tc>
          <w:tcPr>
            <w:tcW w:type="dxa" w:w="617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El módulo garantiza que la consulta es de solo lectura y está acotada; no puede garantizar que responda a la pregunta. Por eso siempre devuelve el SQL ejecutado.</w:t>
            </w:r>
          </w:p>
        </w:tc>
      </w:tr>
      <w:tr>
        <w:tc>
          <w:tcPr>
            <w:tcW w:type="dxa" w:w="3182"/>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Sin pruebas automatizadas de interfaz</w:t>
            </w:r>
          </w:p>
        </w:tc>
        <w:tc>
          <w:tcPr>
            <w:tcW w:type="dxa" w:w="6178"/>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La verificación del frontend fue manual en navegador.</w:t>
            </w:r>
          </w:p>
        </w:tc>
      </w:tr>
    </w:tbl>
    <w:p>
      <w:pPr>
        <w:pStyle w:val="Heading1"/>
        <w:spacing w:after="180" w:before="360"/>
      </w:pPr>
      <w:r>
        <w:rPr>
          <w:rFonts w:ascii="Calibri" w:cs="Calibri" w:eastAsia="Calibri" w:hAnsi="Calibri"/>
          <w:b/>
          <w:bCs/>
          <w:color w:val="0B0B0B"/>
          <w:sz w:val="30"/>
          <w:szCs w:val="30"/>
        </w:rPr>
        <w:t xml:space="preserve">9. Puesta en marcha</w:t>
      </w:r>
    </w:p>
    <w:p>
      <w:pPr>
        <w:spacing w:after="140" w:line="276"/>
      </w:pPr>
      <w:r>
        <w:rPr>
          <w:rFonts w:ascii="Calibri" w:cs="Calibri" w:eastAsia="Calibri" w:hAnsi="Calibri"/>
        </w:rPr>
        <w:t xml:space="preserve">Para conocerlo, sin base de datos ni modelo instalados, arranca en unos minutos con una base de juguete y un modelo simulado que devuelve respuestas fijas.</w:t>
      </w:r>
    </w:p>
    <w:p>
      <w:pPr>
        <w:spacing w:after="140" w:line="276"/>
      </w:pPr>
      <w:r>
        <w:rPr>
          <w:rFonts w:ascii="Calibri" w:cs="Calibri" w:eastAsia="Calibri" w:hAnsi="Calibri"/>
        </w:rPr>
        <w:t xml:space="preserve">Para un proyecto real, el procedimiento tiene cinco partes documentadas paso a paso, cada una con su comprobación:</w:t>
      </w:r>
    </w:p>
    <w:tbl>
      <w:tblPr>
        <w:tblW w:type="dxa" w:w="9360"/>
        <w:tblBorders>
          <w:top w:val="single" w:color="D8D8D2" w:sz="2"/>
          <w:left w:val="none" w:color="FFFFFF" w:sz="0"/>
          <w:bottom w:val="single" w:color="D8D8D2" w:sz="2"/>
          <w:right w:val="none" w:color="FFFFFF" w:sz="0"/>
          <w:insideH w:val="single" w:color="E7E6E1" w:sz="1"/>
          <w:insideV w:val="none" w:color="FFFFFF" w:sz="0"/>
        </w:tblBorders>
      </w:tblPr>
      <w:tblGrid>
        <w:gridCol w:w="936"/>
        <w:gridCol w:w="6739"/>
        <w:gridCol w:w="1685"/>
      </w:tblGrid>
      <w:tr>
        <w:trPr>
          <w:tblHeader/>
        </w:trPr>
        <w:tc>
          <w:tcPr>
            <w:tcW w:type="dxa" w:w="936"/>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Parte</w:t>
            </w:r>
          </w:p>
        </w:tc>
        <w:tc>
          <w:tcPr>
            <w:tcW w:type="dxa" w:w="6739"/>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Contenido</w:t>
            </w:r>
          </w:p>
        </w:tc>
        <w:tc>
          <w:tcPr>
            <w:tcW w:type="dxa" w:w="1685"/>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Tiempo</w:t>
            </w:r>
          </w:p>
        </w:tc>
      </w:tr>
      <w:tr>
        <w:tc>
          <w:tcPr>
            <w:tcW w:type="dxa" w:w="93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A</w:t>
            </w:r>
          </w:p>
        </w:tc>
        <w:tc>
          <w:tcPr>
            <w:tcW w:type="dxa" w:w="6739"/>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Probarlo aislado, sin tocar nada de un cliente</w:t>
            </w:r>
          </w:p>
        </w:tc>
        <w:tc>
          <w:tcPr>
            <w:tcW w:type="dxa" w:w="168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5 min</w:t>
            </w:r>
          </w:p>
        </w:tc>
      </w:tr>
      <w:tr>
        <w:tc>
          <w:tcPr>
            <w:tcW w:type="dxa" w:w="93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B</w:t>
            </w:r>
          </w:p>
        </w:tc>
        <w:tc>
          <w:tcPr>
            <w:tcW w:type="dxa" w:w="6739"/>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Conectarlo a una base real: modelo, rol de solo lectura, primera consulta y prueba de la barrera</w:t>
            </w:r>
          </w:p>
        </w:tc>
        <w:tc>
          <w:tcPr>
            <w:tcW w:type="dxa" w:w="168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30–60 min</w:t>
            </w:r>
          </w:p>
        </w:tc>
      </w:tr>
      <w:tr>
        <w:tc>
          <w:tcPr>
            <w:tcW w:type="dxa" w:w="93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C</w:t>
            </w:r>
          </w:p>
        </w:tc>
        <w:tc>
          <w:tcPr>
            <w:tcW w:type="dxa" w:w="6739"/>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Afinar qué ve el modelo: lista blanca, valores de ejemplo, comentarios, vistas curadas</w:t>
            </w:r>
          </w:p>
        </w:tc>
        <w:tc>
          <w:tcPr>
            <w:tcW w:type="dxa" w:w="168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1–2 h</w:t>
            </w:r>
          </w:p>
        </w:tc>
      </w:tr>
      <w:tr>
        <w:tc>
          <w:tcPr>
            <w:tcW w:type="dxa" w:w="93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D</w:t>
            </w:r>
          </w:p>
        </w:tc>
        <w:tc>
          <w:tcPr>
            <w:tcW w:type="dxa" w:w="6739"/>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Integrarlo a una aplicación existente con sus sesiones y permisos</w:t>
            </w:r>
          </w:p>
        </w:tc>
        <w:tc>
          <w:tcPr>
            <w:tcW w:type="dxa" w:w="168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2–4 h</w:t>
            </w:r>
          </w:p>
        </w:tc>
      </w:tr>
      <w:tr>
        <w:tc>
          <w:tcPr>
            <w:tcW w:type="dxa" w:w="93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E</w:t>
            </w:r>
          </w:p>
        </w:tc>
        <w:tc>
          <w:tcPr>
            <w:tcW w:type="dxa" w:w="6739"/>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Producción: lista de comprobación, pruebas y verificación del despliegue</w:t>
            </w:r>
          </w:p>
        </w:tc>
        <w:tc>
          <w:tcPr>
            <w:tcW w:type="dxa" w:w="1685"/>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1 h</w:t>
            </w:r>
          </w:p>
        </w:tc>
      </w:tr>
    </w:tbl>
    <w:p>
      <w:pPr>
        <w:spacing w:after="160"/>
      </w:pPr>
    </w:p>
    <w:p>
      <w:pPr>
        <w:spacing w:after="140" w:line="276"/>
      </w:pPr>
      <w:r>
        <w:rPr>
          <w:rFonts w:ascii="Calibri" w:cs="Calibri" w:eastAsia="Calibri" w:hAnsi="Calibri"/>
        </w:rPr>
        <w:t xml:space="preserve">Requisitos: Python 3.11 o superior, Node 20 o superior para construir la interfaz, y una máquina con GPU si se quieren tiempos de respuesta de segundos en lugar de decenas de segundos. Sin GPU funciona, pero conviene medir antes de prometer tiempos.</w:t>
      </w:r>
    </w:p>
    <w:p>
      <w:pPr>
        <w:spacing w:after="140" w:line="276"/>
      </w:pPr>
      <w:r>
        <w:rPr>
          <w:rFonts w:ascii="Calibri" w:cs="Calibri" w:eastAsia="Calibri" w:hAnsi="Calibri"/>
          <w:b w:val="false"/>
          <w:bCs w:val="false"/>
          <w:i w:val="false"/>
          <w:iCs w:val="false"/>
        </w:rPr>
        <w:t xml:space="preserve">El paso que más se omite y más cuesta: </w:t>
      </w:r>
      <w:r>
        <w:rPr>
          <w:rFonts w:ascii="Calibri" w:cs="Calibri" w:eastAsia="Calibri" w:hAnsi="Calibri"/>
          <w:b/>
          <w:bCs/>
        </w:rPr>
        <w:t xml:space="preserve">mirar el esquema que realmente ve el modelo</w:t>
      </w:r>
      <w:r>
        <w:rPr>
          <w:rFonts w:ascii="Calibri" w:cs="Calibri" w:eastAsia="Calibri" w:hAnsi="Calibri"/>
          <w:b w:val="false"/>
          <w:bCs w:val="false"/>
          <w:i w:val="false"/>
          <w:iCs w:val="false"/>
        </w:rPr>
        <w:t xml:space="preserve"> antes de dar por buena la instalación. El módulo lo expone en un endpoint dedicado, y ahí se explica la mayoría de las respuestas malas —una tabla que quedó filtrada, una columna que se llama distinto de lo que se supuso.</w:t>
      </w:r>
    </w:p>
    <w:p>
      <w:pPr>
        <w:spacing w:after="160"/>
      </w:pPr>
    </w:p>
    <w:p>
      <w:pPr>
        <w:pStyle w:val="Heading2"/>
        <w:spacing w:after="120" w:before="260"/>
      </w:pPr>
      <w:r>
        <w:rPr>
          <w:rFonts w:ascii="Calibri" w:cs="Calibri" w:eastAsia="Calibri" w:hAnsi="Calibri"/>
          <w:b/>
          <w:bCs/>
          <w:color w:val="2A78D6"/>
          <w:sz w:val="24"/>
          <w:szCs w:val="24"/>
        </w:rPr>
        <w:t xml:space="preserve">Documentación entregada</w:t>
      </w:r>
    </w:p>
    <w:tbl>
      <w:tblPr>
        <w:tblW w:type="dxa" w:w="9360"/>
        <w:tblBorders>
          <w:top w:val="single" w:color="D8D8D2" w:sz="2"/>
          <w:left w:val="none" w:color="FFFFFF" w:sz="0"/>
          <w:bottom w:val="single" w:color="D8D8D2" w:sz="2"/>
          <w:right w:val="none" w:color="FFFFFF" w:sz="0"/>
          <w:insideH w:val="single" w:color="E7E6E1" w:sz="1"/>
          <w:insideV w:val="none" w:color="FFFFFF" w:sz="0"/>
        </w:tblBorders>
      </w:tblPr>
      <w:tblGrid>
        <w:gridCol w:w="2246"/>
        <w:gridCol w:w="7114"/>
      </w:tblGrid>
      <w:tr>
        <w:trPr>
          <w:tblHeader/>
        </w:trPr>
        <w:tc>
          <w:tcPr>
            <w:tcW w:type="dxa" w:w="2246"/>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Documento</w:t>
            </w:r>
          </w:p>
        </w:tc>
        <w:tc>
          <w:tcPr>
            <w:tcW w:type="dxa" w:w="7114"/>
            <w:shd w:fill="F1F4F9" w:val="clear"/>
            <w:tcMar>
              <w:top w:type="dxa" w:w="80"/>
              <w:left w:type="dxa" w:w="120"/>
              <w:bottom w:type="dxa" w:w="80"/>
              <w:right w:type="dxa" w:w="120"/>
            </w:tcMar>
          </w:tcPr>
          <w:p>
            <w:pPr>
              <w:spacing w:after="0" w:line="252"/>
            </w:pPr>
            <w:r>
              <w:rPr>
                <w:rFonts w:ascii="Calibri" w:cs="Calibri" w:eastAsia="Calibri" w:hAnsi="Calibri"/>
                <w:b/>
                <w:bCs/>
                <w:color w:val="0B0B0B"/>
                <w:sz w:val="19"/>
                <w:szCs w:val="19"/>
              </w:rPr>
              <w:t xml:space="preserve">Contenido</w:t>
            </w:r>
          </w:p>
        </w:tc>
      </w:tr>
      <w:tr>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README</w:t>
            </w:r>
          </w:p>
        </w:tc>
        <w:tc>
          <w:tcPr>
            <w:tcW w:type="dxa" w:w="711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Qué es, arranque rápido, integración y estructura del proyecto.</w:t>
            </w:r>
          </w:p>
        </w:tc>
      </w:tr>
      <w:tr>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Procedimiento</w:t>
            </w:r>
          </w:p>
        </w:tc>
        <w:tc>
          <w:tcPr>
            <w:tcW w:type="dxa" w:w="711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Las cinco partes de arriba, con la comprobación de cada paso y qué hacer si falla. Incluye cómo se construyó y verificó el módulo.</w:t>
            </w:r>
          </w:p>
        </w:tc>
      </w:tr>
      <w:tr>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Despliegue</w:t>
            </w:r>
          </w:p>
        </w:tc>
        <w:tc>
          <w:tcPr>
            <w:tcW w:type="dxa" w:w="711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Rol de solo lectura por motor, configuración de lo que ve el modelo, Docker, autenticación, operación y lista de comprobación previa a producción.</w:t>
            </w:r>
          </w:p>
        </w:tc>
      </w:tr>
      <w:tr>
        <w:tc>
          <w:tcPr>
            <w:tcW w:type="dxa" w:w="2246"/>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Plan de validación</w:t>
            </w:r>
          </w:p>
        </w:tc>
        <w:tc>
          <w:tcPr>
            <w:tcW w:type="dxa" w:w="7114"/>
            <w:tcMar>
              <w:top w:type="dxa" w:w="80"/>
              <w:left w:type="dxa" w:w="120"/>
              <w:bottom w:type="dxa" w:w="80"/>
              <w:right w:type="dxa" w:w="120"/>
            </w:tcMar>
          </w:tcPr>
          <w:p>
            <w:pPr>
              <w:spacing w:after="0" w:line="252"/>
            </w:pPr>
            <w:r>
              <w:rPr>
                <w:rFonts w:ascii="Calibri" w:cs="Calibri" w:eastAsia="Calibri" w:hAnsi="Calibri"/>
                <w:b w:val="false"/>
                <w:bCs w:val="false"/>
                <w:color w:val="52514E"/>
                <w:sz w:val="19"/>
                <w:szCs w:val="19"/>
              </w:rPr>
              <w:t xml:space="preserve">La matriz de pruebas, cómo evaluar un modelo real y lo que no se cubre.</w:t>
            </w:r>
          </w:p>
        </w:tc>
      </w:tr>
    </w:tbl>
    <w:p>
      <w:pPr>
        <w:pStyle w:val="Heading1"/>
        <w:spacing w:after="180" w:before="360"/>
      </w:pPr>
      <w:r>
        <w:rPr>
          <w:rFonts w:ascii="Calibri" w:cs="Calibri" w:eastAsia="Calibri" w:hAnsi="Calibri"/>
          <w:b/>
          <w:bCs/>
          <w:color w:val="0B0B0B"/>
          <w:sz w:val="30"/>
          <w:szCs w:val="30"/>
        </w:rPr>
        <w:t xml:space="preserve">10. Conclusión</w:t>
      </w:r>
    </w:p>
    <w:p>
      <w:pPr>
        <w:spacing w:after="140" w:line="276"/>
      </w:pPr>
      <w:r>
        <w:rPr>
          <w:rFonts w:ascii="Calibri" w:cs="Calibri" w:eastAsia="Calibri" w:hAnsi="Calibri"/>
        </w:rPr>
        <w:t xml:space="preserve">El módulo cumple lo que se planteó: es reutilizable, agnóstico del proyecto y del motor de base de datos, funciona íntegramente con componentes libres y sin costo por uso, y no envía datos a ningún servicio externo.</w:t>
      </w:r>
    </w:p>
    <w:p>
      <w:pPr>
        <w:spacing w:after="140" w:line="276"/>
      </w:pPr>
      <w:r>
        <w:rPr>
          <w:rFonts w:ascii="Calibri" w:cs="Calibri" w:eastAsia="Calibri" w:hAnsi="Calibri"/>
        </w:rPr>
        <w:t xml:space="preserve">Lo que lo hace desplegable no es que traduzca preguntas a SQL —eso lo hace cualquier modelo— sino las cuatro barreras que impiden que esa traducción escriba en la base, el filtrado de lo que el modelo puede ver, y que cada respuesta venga acompañada de la consulta que la produjo.</w:t>
      </w:r>
    </w:p>
    <w:p>
      <w:pPr>
        <w:spacing w:after="140" w:line="276"/>
      </w:pPr>
      <w:r>
        <w:rPr>
          <w:rFonts w:ascii="Calibri" w:cs="Calibri" w:eastAsia="Calibri" w:hAnsi="Calibri"/>
        </w:rPr>
        <w:t xml:space="preserve">Queda pendiente, y es lo primero a resolver antes de exponerlo: la autenticación, que corresponde a la aplicación que lo aloje.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981"/>
        <w:sz w:val="16"/>
        <w:szCs w:val="16"/>
      </w:rPr>
      <w:t xml:space="preserve">Módulo de Inteligencia de Negocios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funcionamiento — Módulo de Inteligencia de Negocios</dc:title>
  <dc:creator>Módulo de BI</dc:creator>
  <dc:description>Informe de funcionamiento, seguridad y validación del módulo de BI</dc:description>
  <cp:lastModifiedBy>Un-named</cp:lastModifiedBy>
  <cp:revision>1</cp:revision>
  <dcterms:created xsi:type="dcterms:W3CDTF">2026-09-22T15:36:28.368Z</dcterms:created>
  <dcterms:modified xsi:type="dcterms:W3CDTF">2026-09-22T15:36:28.372Z</dcterms:modified>
</cp:coreProperties>
</file>

<file path=docProps/custom.xml><?xml version="1.0" encoding="utf-8"?>
<Properties xmlns="http://schemas.openxmlformats.org/officeDocument/2006/custom-properties" xmlns:vt="http://schemas.openxmlformats.org/officeDocument/2006/docPropsVTypes"/>
</file>