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7A60"/>
          <w:sz w:val="32"/>
        </w:rPr>
        <w:t>TYAKXA · ERP / CRM / SCM</w:t>
      </w:r>
    </w:p>
    <w:p>
      <w:pPr>
        <w:jc w:val="center"/>
      </w:pPr>
      <w:r>
        <w:rPr>
          <w:b/>
          <w:sz w:val="44"/>
        </w:rPr>
        <w:t>Bitácora del día</w:t>
      </w:r>
    </w:p>
    <w:p>
      <w:pPr>
        <w:jc w:val="center"/>
      </w:pPr>
      <w:r>
        <w:rPr>
          <w:b w:val="0"/>
          <w:color w:val="64748B"/>
          <w:sz w:val="22"/>
        </w:rPr>
        <w:t>El almacén, de funcional a listo para producción</w:t>
      </w:r>
    </w:p>
    <w:p>
      <w:pPr>
        <w:jc w:val="center"/>
      </w:pPr>
      <w:r>
        <w:rPr>
          <w:b/>
        </w:rPr>
        <w:t>3 de septiembre de 2026</w:t>
      </w:r>
    </w:p>
    <w:p>
      <w:pPr>
        <w:jc w:val="center"/>
      </w:pPr>
      <w:r>
        <w:rPr>
          <w:b w:val="0"/>
          <w:color w:val="64748B"/>
          <w:sz w:val="19"/>
        </w:rPr>
        <w:t>Repositorio: tyakxa_tny · rama initAngm · 11 commits (a573a88 → 20d417b)</w:t>
      </w:r>
    </w:p>
    <w:p>
      <w:pPr>
        <w:pStyle w:val="Heading1"/>
      </w:pPr>
      <w:r>
        <w:t>1. Resumen ejecutivo</w:t>
      </w:r>
    </w:p>
    <w:p>
      <w:r>
        <w:rPr>
          <w:b w:val="0"/>
        </w:rPr>
        <w:t>La jornada empezó probando el inventario contra una base recién borrada y acabó dejándolo en condiciones de salir a producción. Entre lo uno y lo otro salieron cuatro defectos que solo aparecen cuando se usa el sistema de verdad, y ninguno de ellos daba error: todos devolvían un resultado creíble y equivocado, o simplemente no mostraban nada.</w:t>
      </w:r>
    </w:p>
    <w:p>
      <w:r>
        <w:rPr>
          <w:b w:val="0"/>
        </w:rPr>
        <w:t>El más importante no fue un error de cálculo sino de rendimiento. La pantalla de localizar hacía 271 consultas a la base para devolver 40 resultados. Con el almacén de pruebas no se notaba; con 5 000 productos sembrados a propósito, cada búsqueda tardaba un segundo, y esa pantalla busca mientras se escribe. Después de agrupar las consultas en lote: 13 consultas y 134 milisegundos.</w:t>
      </w:r>
    </w:p>
    <w:p>
      <w:r>
        <w:rPr>
          <w:b w:val="0"/>
        </w:rPr>
        <w:t>El hilo de la jornada es que una funcionalidad que existe pero no se encuentra no existe. «Familias de producto» tenía pantalla, ruta y permisos, y no aparecía en ningún menú para ningún rol. Buscar la etiqueta de una pieza devolvía el producto entero sin decir cuál era la pieza. Filtrar por un almacén no traía lo que estaba en sus racks. En los tres casos el dato estaba en la base y el trabajo fue hacerlo alcanzable.</w:t>
      </w:r>
    </w:p>
    <w:p>
      <w:r>
        <w:rPr>
          <w:b w:val="0"/>
        </w:rPr>
        <w:t>Al cierre: 1 000 pruebas en verde, 62 migraciones reaplicables, y el almacén medido bajo carga. Queda un hallazgo de arquitectura que necesita decisión y está en la sección 5.</w:t>
      </w:r>
    </w:p>
    <w:p>
      <w:pPr>
        <w:pStyle w:val="Heading1"/>
      </w:pPr>
      <w:r>
        <w:t>2. Los defectos que salieron al probar</w:t>
      </w:r>
    </w:p>
    <w:p>
      <w:pPr>
        <w:pStyle w:val="Heading2"/>
      </w:pPr>
      <w:r>
        <w:t>2.1 El traslado contaba doble</w:t>
      </w:r>
    </w:p>
    <w:p>
      <w:r>
        <w:rPr>
          <w:b w:val="0"/>
        </w:rPr>
        <w:t>Trasladar 10 unidades de una nave a otra y la historia del producto decía «trasladado 20». Un traslado escribe dos asientos en el libro —la salida del origen y la entrada al destino— con el mismo identificador de grupo, y el resumen sumaba valores absolutos, así que contaba los dos.</w:t>
      </w:r>
    </w:p>
    <w:p>
      <w:r>
        <w:rPr>
          <w:b w:val="0"/>
        </w:rPr>
        <w:t>Se cuenta solo el lado de la salida, que es lo que se movió. Importa más de lo que parece: el traslado es el movimiento que más se hace en un almacén, y un número inflado ahí hace creer que se mueve el doble de mercancía de la que se mueve.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Operación</w:t>
            </w:r>
          </w:p>
        </w:tc>
        <w:tc>
          <w:tcPr>
            <w:tcW w:type="dxa" w:w="3120"/>
          </w:tcPr>
          <w:p>
            <w:r/>
            <w:r>
              <w:rPr>
                <w:b/>
                <w:sz w:val="19"/>
              </w:rPr>
              <w:t>Antes decía</w:t>
            </w:r>
          </w:p>
        </w:tc>
        <w:tc>
          <w:tcPr>
            <w:tcW w:type="dxa" w:w="3120"/>
          </w:tcPr>
          <w:p>
            <w:r/>
            <w:r>
              <w:rPr>
                <w:b/>
                <w:sz w:val="19"/>
              </w:rPr>
              <w:t>Ahora dice</w:t>
            </w:r>
          </w:p>
        </w:tc>
      </w:tr>
      <w:tr>
        <w:tc>
          <w:tcPr>
            <w:tcW w:type="dxa" w:w="3120"/>
          </w:tcPr>
          <w:p>
            <w:r/>
            <w:r>
              <w:rPr>
                <w:sz w:val="19"/>
              </w:rPr>
              <w:t>Traslado de 10 unidades</w:t>
            </w:r>
          </w:p>
        </w:tc>
        <w:tc>
          <w:tcPr>
            <w:tcW w:type="dxa" w:w="3120"/>
          </w:tcPr>
          <w:p>
            <w:r/>
            <w:r>
              <w:rPr>
                <w:sz w:val="19"/>
              </w:rPr>
              <w:t>trasladado 20, en 2 movimientos</w:t>
            </w:r>
          </w:p>
        </w:tc>
        <w:tc>
          <w:tcPr>
            <w:tcW w:type="dxa" w:w="3120"/>
          </w:tcPr>
          <w:p>
            <w:r/>
            <w:r>
              <w:rPr>
                <w:sz w:val="19"/>
              </w:rPr>
              <w:t>trasladado 10, en 1 movimiento</w:t>
            </w:r>
          </w:p>
        </w:tc>
      </w:tr>
      <w:tr>
        <w:tc>
          <w:tcPr>
            <w:tcW w:type="dxa" w:w="3120"/>
          </w:tcPr>
          <w:p>
            <w:r/>
            <w:r>
              <w:rPr>
                <w:sz w:val="19"/>
              </w:rPr>
              <w:t>Traslado de 30 y luego otro de 50</w:t>
            </w:r>
          </w:p>
        </w:tc>
        <w:tc>
          <w:tcPr>
            <w:tcW w:type="dxa" w:w="3120"/>
          </w:tcPr>
          <w:p>
            <w:r/>
            <w:r>
              <w:rPr>
                <w:sz w:val="19"/>
              </w:rPr>
              <w:t>— (no se midió)</w:t>
            </w:r>
          </w:p>
        </w:tc>
        <w:tc>
          <w:tcPr>
            <w:tcW w:type="dxa" w:w="3120"/>
          </w:tcPr>
          <w:p>
            <w:r/>
            <w:r>
              <w:rPr>
                <w:sz w:val="19"/>
              </w:rPr>
              <w:t>trasladado 80, en 2 movimientos</w:t>
            </w:r>
          </w:p>
        </w:tc>
      </w:tr>
    </w:tbl>
    <w:p/>
    <w:p>
      <w:pPr>
        <w:pStyle w:val="Heading2"/>
      </w:pPr>
      <w:r>
        <w:t>2.2 Buscar una pieza y buscar el producto se contestaban igual</w:t>
      </w:r>
    </w:p>
    <w:p>
      <w:r>
        <w:rPr>
          <w:b w:val="0"/>
        </w:rPr>
        <w:t>Con el número pegado en la herramienta en la mano —«TAL-100-C»— la búsqueda devolvía el producto con sus tres piezas y sin decir cuál era la que se había pedido. Quien tiene el número tenía que encontrarlo a ojo en la lista, que es justo lo que la búsqueda venía a evitar.</w:t>
      </w:r>
    </w:p>
    <w:p>
      <w:r>
        <w:rPr>
          <w:b w:val="0"/>
        </w:rPr>
        <w:t>Son dos preguntas distintas: «dónde está esta pieza» y «cuántas unidades tengo y cómo están». Ahora la respuesta dice por qué salió cada resultado y señala la pieza que coincide.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Se busca</w:t>
            </w:r>
          </w:p>
        </w:tc>
        <w:tc>
          <w:tcPr>
            <w:tcW w:type="dxa" w:w="3120"/>
          </w:tcPr>
          <w:p>
            <w:r/>
            <w:r>
              <w:rPr>
                <w:b/>
                <w:sz w:val="19"/>
              </w:rPr>
              <w:t>Se reconoce como</w:t>
            </w:r>
          </w:p>
        </w:tc>
        <w:tc>
          <w:tcPr>
            <w:tcW w:type="dxa" w:w="3120"/>
          </w:tcPr>
          <w:p>
            <w:r/>
            <w:r>
              <w:rPr>
                <w:b/>
                <w:sz w:val="19"/>
              </w:rPr>
              <w:t>Qué se ve</w:t>
            </w:r>
          </w:p>
        </w:tc>
      </w:tr>
      <w:tr>
        <w:tc>
          <w:tcPr>
            <w:tcW w:type="dxa" w:w="3120"/>
          </w:tcPr>
          <w:p>
            <w:r/>
            <w:r>
              <w:rPr>
                <w:sz w:val="19"/>
              </w:rPr>
              <w:t>TAL-100-C</w:t>
            </w:r>
          </w:p>
        </w:tc>
        <w:tc>
          <w:tcPr>
            <w:tcW w:type="dxa" w:w="3120"/>
          </w:tcPr>
          <w:p>
            <w:r/>
            <w:r>
              <w:rPr>
                <w:sz w:val="19"/>
              </w:rPr>
              <w:t>una pieza</w:t>
            </w:r>
          </w:p>
        </w:tc>
        <w:tc>
          <w:tcPr>
            <w:tcW w:type="dxa" w:w="3120"/>
          </w:tcPr>
          <w:p>
            <w:r/>
            <w:r>
              <w:rPr>
                <w:sz w:val="19"/>
              </w:rPr>
              <w:t>esa pieza arriba, marcada, con su bitácora; las otras dos debajo</w:t>
            </w:r>
          </w:p>
        </w:tc>
      </w:tr>
      <w:tr>
        <w:tc>
          <w:tcPr>
            <w:tcW w:type="dxa" w:w="3120"/>
          </w:tcPr>
          <w:p>
            <w:r/>
            <w:r>
              <w:rPr>
                <w:sz w:val="19"/>
              </w:rPr>
              <w:t>TAL-100</w:t>
            </w:r>
          </w:p>
        </w:tc>
        <w:tc>
          <w:tcPr>
            <w:tcW w:type="dxa" w:w="3120"/>
          </w:tcPr>
          <w:p>
            <w:r/>
            <w:r>
              <w:rPr>
                <w:sz w:val="19"/>
              </w:rPr>
              <w:t>el producto</w:t>
            </w:r>
          </w:p>
        </w:tc>
        <w:tc>
          <w:tcPr>
            <w:tcW w:type="dxa" w:w="3120"/>
          </w:tcPr>
          <w:p>
            <w:r/>
            <w:r>
              <w:rPr>
                <w:sz w:val="19"/>
              </w:rPr>
              <w:t>las tres unidades, ninguna marcada, con «1/3 utilizables»</w:t>
            </w:r>
          </w:p>
        </w:tc>
      </w:tr>
    </w:tbl>
    <w:p/>
    <w:p>
      <w:r>
        <w:rPr>
          <w:b w:val="0"/>
        </w:rPr>
        <w:t>La distinción es fina a propósito. Las etiquetas suelen empezar por el código del producto —TAL-100-A, -B, -C— así que «contiene el texto» marcaba las tres al buscar el producto y afirmaba que coincidían tres piezas cuando no coincidía ninguna.</w:t>
      </w:r>
    </w:p>
    <w:p>
      <w:r>
        <w:rPr>
          <w:b w:val="0"/>
        </w:rPr>
        <w:t>De la pieza que coincide sale además su bitácora legible. La tabla de eventos ya guardaba el antes y el después completos, pero solo los identificadores: un renglón que dice «responsable 7» obliga a ir a buscar quién es el 7.</w:t>
      </w:r>
    </w:p>
    <w:p>
      <w:pPr>
        <w:spacing w:after="0"/>
        <w:ind w:left="360"/>
      </w:pPr>
      <w:r>
        <w:rPr>
          <w:rFonts w:ascii="Consolas" w:hAnsi="Consolas"/>
          <w:color w:val="64748B"/>
          <w:sz w:val="18"/>
        </w:rPr>
        <w:t>&gt;&gt; pieza TAL-100-A: extraviada · Administrador</w:t>
      </w:r>
    </w:p>
    <w:p>
      <w:pPr>
        <w:spacing w:after="0"/>
        <w:ind w:left="360"/>
      </w:pPr>
      <w:r>
        <w:rPr>
          <w:rFonts w:ascii="Consolas" w:hAnsi="Consolas"/>
          <w:color w:val="64748B"/>
          <w:sz w:val="18"/>
        </w:rPr>
        <w:t xml:space="preserve">     - se reportó extraviada Administrador (prestada → extraviada) · No aparece</w:t>
      </w:r>
    </w:p>
    <w:p>
      <w:pPr>
        <w:spacing w:after="0"/>
        <w:ind w:left="360"/>
      </w:pPr>
      <w:r>
        <w:rPr>
          <w:rFonts w:ascii="Consolas" w:hAnsi="Consolas"/>
          <w:color w:val="64748B"/>
          <w:sz w:val="18"/>
        </w:rPr>
        <w:t xml:space="preserve">     - se prestó a Administrador (disponible → prestada) · Obra Norte</w:t>
      </w:r>
    </w:p>
    <w:p>
      <w:pPr>
        <w:spacing w:after="0"/>
        <w:ind w:left="360"/>
      </w:pPr>
      <w:r>
        <w:rPr>
          <w:rFonts w:ascii="Consolas" w:hAnsi="Consolas"/>
          <w:color w:val="64748B"/>
          <w:sz w:val="18"/>
        </w:rPr>
        <w:t xml:space="preserve">     - dio de alta Rack A-1 (nueva → disponible) · Alta inicial</w:t>
      </w:r>
    </w:p>
    <w:p/>
    <w:p>
      <w:pPr>
        <w:pStyle w:val="Heading2"/>
      </w:pPr>
      <w:r>
        <w:t>2.3 La instalación en limpio se rompía a la mitad</w:t>
      </w:r>
    </w:p>
    <w:p>
      <w:r>
        <w:rPr>
          <w:b w:val="0"/>
        </w:rPr>
        <w:t>Borrar el contenedor y volver a levantarlo dejaba la base a medio construir, y el backend arrancaba contra un esquema incompleto sin que nada fallara de forma visible. Tres causas independientes, una por archivo:</w:t>
      </w:r>
    </w:p>
    <w:p>
      <w:pPr>
        <w:pStyle w:val="ListParagraph"/>
        <w:spacing w:after="80"/>
        <w:ind w:left="360"/>
      </w:pPr>
      <w:r>
        <w:rPr>
          <w:b/>
        </w:rPr>
        <w:t xml:space="preserve">docker-compose no esperaba a Postgres. </w:t>
      </w:r>
      <w:r>
        <w:t>El paso de migraciones copiaba el bucle de psql del arranque de Kubernetes pero no su espera. En la primera instalación, cuando Postgres tarda en crear el cluster, las 60 migraciones fallaban con «Connection refused».</w:t>
      </w:r>
    </w:p>
    <w:p>
      <w:pPr>
        <w:pStyle w:val="ListParagraph"/>
        <w:spacing w:after="80"/>
        <w:ind w:left="360"/>
      </w:pPr>
      <w:r>
        <w:rPr>
          <w:b/>
        </w:rPr>
        <w:t xml:space="preserve">init.sql abortaba entero. </w:t>
      </w:r>
      <w:r>
        <w:t>El guardia de los constraints atrapaba un tipo de error de duplicado, pero el índice que Postgres crea detrás de una restricción UNIQUE levanta otro. Al no estar contemplado se perdía todo lo que venía después en el archivo.</w:t>
      </w:r>
    </w:p>
    <w:p>
      <w:pPr>
        <w:pStyle w:val="ListParagraph"/>
        <w:spacing w:after="80"/>
        <w:ind w:left="360"/>
      </w:pPr>
      <w:r>
        <w:rPr>
          <w:b/>
        </w:rPr>
        <w:t xml:space="preserve">seed.sql abortaba entero. </w:t>
      </w:r>
      <w:r>
        <w:t>Cinco inserciones resolvían el conflicto contra la llave primaria en vez de contra la restricción que de verdad choca al resembrar.</w:t>
      </w:r>
    </w:p>
    <w:p>
      <w:r>
        <w:rPr>
          <w:b w:val="0"/>
        </w:rPr>
        <w:t>Comprobado en una instalación desde cero: 60 migraciones aplicadas, 114 tablas, 252 permisos y 9 grupos de menú.</w:t>
      </w:r>
    </w:p>
    <w:p>
      <w:pPr>
        <w:pStyle w:val="Heading2"/>
      </w:pPr>
      <w:r>
        <w:t>2.4 Los catálogos del inventario no estaban en ningún menú</w:t>
      </w:r>
    </w:p>
    <w:p>
      <w:r>
        <w:rPr>
          <w:b w:val="0"/>
        </w:rPr>
        <w:t>Salió de una pregunta directa: «y para añadir nuevos productos o familias de productos cómo le hago?». La respuesta era que no se podía desde el menú.</w:t>
      </w:r>
    </w:p>
    <w:p>
      <w:r>
        <w:rPr>
          <w:b w:val="0"/>
        </w:rPr>
        <w:t>El registro de módulos decide dónde va cada entrada con una regla de una línea: si la entidad tiene etiqueta va al menú lateral, y si no, se esconde. «Familias de producto», «Marcas», «Unidades» y «Estado de inventario» no tenían etiqueta. No fue una decisión de esconderlas —las cuatro pantallas existen con su ruta— fue no haberlas nombrado.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Entidad</w:t>
            </w:r>
          </w:p>
        </w:tc>
        <w:tc>
          <w:tcPr>
            <w:tcW w:type="dxa" w:w="3120"/>
          </w:tcPr>
          <w:p>
            <w:r/>
            <w:r>
              <w:rPr>
                <w:b/>
                <w:sz w:val="19"/>
              </w:rPr>
              <w:t>Antes</w:t>
            </w:r>
          </w:p>
        </w:tc>
        <w:tc>
          <w:tcPr>
            <w:tcW w:type="dxa" w:w="3120"/>
          </w:tcPr>
          <w:p>
            <w:r/>
            <w:r>
              <w:rPr>
                <w:b/>
                <w:sz w:val="19"/>
              </w:rPr>
              <w:t>Roles que la veían</w:t>
            </w:r>
          </w:p>
        </w:tc>
      </w:tr>
      <w:tr>
        <w:tc>
          <w:tcPr>
            <w:tcW w:type="dxa" w:w="3120"/>
          </w:tcPr>
          <w:p>
            <w:r/>
            <w:r>
              <w:rPr>
                <w:sz w:val="19"/>
              </w:rPr>
              <w:t>product_family</w:t>
            </w:r>
          </w:p>
        </w:tc>
        <w:tc>
          <w:tcPr>
            <w:tcW w:type="dxa" w:w="3120"/>
          </w:tcPr>
          <w:p>
            <w:r/>
            <w:r>
              <w:rPr>
                <w:sz w:val="19"/>
              </w:rPr>
              <w:t>escondida, sin etiqueta</w:t>
            </w:r>
          </w:p>
        </w:tc>
        <w:tc>
          <w:tcPr>
            <w:tcW w:type="dxa" w:w="3120"/>
          </w:tcPr>
          <w:p>
            <w:r/>
            <w:r>
              <w:rPr>
                <w:sz w:val="19"/>
              </w:rPr>
              <w:t>ninguno de los 5</w:t>
            </w:r>
          </w:p>
        </w:tc>
      </w:tr>
      <w:tr>
        <w:tc>
          <w:tcPr>
            <w:tcW w:type="dxa" w:w="3120"/>
          </w:tcPr>
          <w:p>
            <w:r/>
            <w:r>
              <w:rPr>
                <w:sz w:val="19"/>
              </w:rPr>
              <w:t>brand / unit</w:t>
            </w:r>
          </w:p>
        </w:tc>
        <w:tc>
          <w:tcPr>
            <w:tcW w:type="dxa" w:w="3120"/>
          </w:tcPr>
          <w:p>
            <w:r/>
            <w:r>
              <w:rPr>
                <w:sz w:val="19"/>
              </w:rPr>
              <w:t>escondidas para 3 de 5 roles</w:t>
            </w:r>
          </w:p>
        </w:tc>
        <w:tc>
          <w:tcPr>
            <w:tcW w:type="dxa" w:w="3120"/>
          </w:tcPr>
          <w:p>
            <w:r/>
            <w:r>
              <w:rPr>
                <w:sz w:val="19"/>
              </w:rPr>
              <w:t>2 de 5</w:t>
            </w:r>
          </w:p>
        </w:tc>
      </w:tr>
      <w:tr>
        <w:tc>
          <w:tcPr>
            <w:tcW w:type="dxa" w:w="3120"/>
          </w:tcPr>
          <w:p>
            <w:r/>
            <w:r>
              <w:rPr>
                <w:sz w:val="19"/>
              </w:rPr>
              <w:t>product / material / location</w:t>
            </w:r>
          </w:p>
        </w:tc>
        <w:tc>
          <w:tcPr>
            <w:tcW w:type="dxa" w:w="3120"/>
          </w:tcPr>
          <w:p>
            <w:r/>
            <w:r>
              <w:rPr>
                <w:sz w:val="19"/>
              </w:rPr>
              <w:t>escondidas para el rol Administrator</w:t>
            </w:r>
          </w:p>
        </w:tc>
        <w:tc>
          <w:tcPr>
            <w:tcW w:type="dxa" w:w="3120"/>
          </w:tcPr>
          <w:p>
            <w:r/>
            <w:r>
              <w:rPr>
                <w:sz w:val="19"/>
              </w:rPr>
              <w:t>3 de 5 / 2 de 5</w:t>
            </w:r>
          </w:p>
        </w:tc>
      </w:tr>
    </w:tbl>
    <w:p/>
    <w:p>
      <w:r>
        <w:rPr>
          <w:b w:val="0"/>
        </w:rPr>
        <w:t>Revisando salió que no era solo eso: el rol Administrator tenía 29 filas escondidas y sin etiqueta, y 7 de ésas son entidades que el registro sí nombra. Permiso concedido, pantalla existente, sin entrada de menú. El fallo es silencioso por construcción: no hay error ni rechazo, simplemente no aparece, así que solo se descubre cuando alguien va a usarlo.</w:t>
      </w:r>
    </w:p>
    <w:p>
      <w:r>
        <w:rPr>
          <w:b w:val="0"/>
        </w:rPr>
        <w:t>El grupo Inventario del Administrator pasó de 6 entradas a 10.</w:t>
      </w:r>
    </w:p>
    <w:p>
      <w:pPr>
        <w:pStyle w:val="Heading1"/>
      </w:pPr>
      <w:r>
        <w:t>3. Lo que se construyó</w:t>
      </w:r>
    </w:p>
    <w:p>
      <w:pPr>
        <w:pStyle w:val="Heading2"/>
      </w:pPr>
      <w:r>
        <w:t>3.1 El almacén relaciona ahora todo lo que cuelga de un producto</w:t>
      </w:r>
    </w:p>
    <w:p>
      <w:r>
        <w:rPr>
          <w:b w:val="0"/>
        </w:rPr>
        <w:t>Localizar algo daba el código, la descripción y dónde estaba. Para saber a qué familia pertenecía había que abrir la pantalla de Producto y desde ahí la de Material: dos pantallas para un dato que ya venía en la consulta. Ahora la cadena viene resuelta y cada eslabón filtra al hacer clic.</w:t>
      </w:r>
    </w:p>
    <w:p>
      <w:pPr>
        <w:spacing w:after="0"/>
        <w:ind w:left="360"/>
      </w:pPr>
      <w:r>
        <w:rPr>
          <w:rFonts w:ascii="Consolas" w:hAnsi="Consolas"/>
          <w:color w:val="64748B"/>
          <w:sz w:val="18"/>
        </w:rPr>
        <w:t>TAL-104437 — Taladro percutor 750W</w:t>
      </w:r>
    </w:p>
    <w:p>
      <w:pPr>
        <w:spacing w:after="0"/>
        <w:ind w:left="360"/>
      </w:pPr>
      <w:r>
        <w:rPr>
          <w:rFonts w:ascii="Consolas" w:hAnsi="Consolas"/>
          <w:color w:val="64748B"/>
          <w:sz w:val="18"/>
        </w:rPr>
        <w:t>Herramienta › Bosch › Herramienta eléctrica · mide en Pieza</w:t>
      </w:r>
    </w:p>
    <w:p>
      <w:pPr>
        <w:spacing w:after="0"/>
        <w:ind w:left="360"/>
      </w:pPr>
      <w:r>
        <w:rPr>
          <w:rFonts w:ascii="Consolas" w:hAnsi="Consolas"/>
          <w:color w:val="64748B"/>
          <w:sz w:val="18"/>
        </w:rPr>
        <w:t>está en: Nave A › Pasillo 3 › Rack A-1        (existencia 4)</w:t>
      </w:r>
    </w:p>
    <w:p/>
    <w:p>
      <w:r>
        <w:rPr>
          <w:b w:val="0"/>
        </w:rPr>
        <w:t>Sobre las dos familias: el producto tiene además una familia y una marca propias, sin llave ajena, que usa el catálogo público para agrupar la tienda. Son otra cosa que la familia del material. No se elige una en silencio: manda la del material —la que el almacén usa y la única obligatoria— y si la del catálogo apunta a otra parte se dice. Una discrepancia así es un dato mal capturado, y esconderla es como no tenerla.</w:t>
      </w:r>
    </w:p>
    <w:p>
      <w:pPr>
        <w:pStyle w:val="Heading2"/>
      </w:pPr>
      <w:r>
        <w:t>3.2 El lugar, con su rama completa</w:t>
      </w:r>
    </w:p>
    <w:p>
      <w:r>
        <w:rPr>
          <w:b w:val="0"/>
        </w:rPr>
        <w:t>«Rack A-1» no dice dónde está el rack: con dos naves hay un Rack A-1 en cada una. La ubicación viene con su rama entera, tanto en las existencias como en cada pieza y en cada renglón de su bitácora.</w:t>
      </w:r>
    </w:p>
    <w:p>
      <w:r>
        <w:rPr>
          <w:b w:val="0"/>
        </w:rPr>
        <w:t>La pantalla avisa además cuando la ficha del producto dice un sitio y las unidades están en otro. Quien va al sitio de la ficha y no encuentra nada solo puede pensar que se perdió.</w:t>
      </w:r>
    </w:p>
    <w:p>
      <w:pPr>
        <w:pStyle w:val="Heading2"/>
      </w:pPr>
      <w:r>
        <w:t>3.3 Seis filtros, y tres decisiones sobre cómo se comportan</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Filtro</w:t>
            </w:r>
          </w:p>
        </w:tc>
        <w:tc>
          <w:tcPr>
            <w:tcW w:type="dxa" w:w="4680"/>
          </w:tcPr>
          <w:p>
            <w:r/>
            <w:r>
              <w:rPr>
                <w:b/>
                <w:sz w:val="19"/>
              </w:rPr>
              <w:t>Qué recorta</w:t>
            </w:r>
          </w:p>
        </w:tc>
      </w:tr>
      <w:tr>
        <w:tc>
          <w:tcPr>
            <w:tcW w:type="dxa" w:w="4680"/>
          </w:tcPr>
          <w:p>
            <w:r/>
            <w:r>
              <w:rPr>
                <w:sz w:val="19"/>
              </w:rPr>
              <w:t>Texto</w:t>
            </w:r>
          </w:p>
        </w:tc>
        <w:tc>
          <w:tcPr>
            <w:tcW w:type="dxa" w:w="4680"/>
          </w:tcPr>
          <w:p>
            <w:r/>
            <w:r>
              <w:rPr>
                <w:sz w:val="19"/>
              </w:rPr>
              <w:t>código, descripción y etiqueta de pieza</w:t>
            </w:r>
          </w:p>
        </w:tc>
      </w:tr>
      <w:tr>
        <w:tc>
          <w:tcPr>
            <w:tcW w:type="dxa" w:w="4680"/>
          </w:tcPr>
          <w:p>
            <w:r/>
            <w:r>
              <w:rPr>
                <w:sz w:val="19"/>
              </w:rPr>
              <w:t>Para qué sirve</w:t>
            </w:r>
          </w:p>
        </w:tc>
        <w:tc>
          <w:tcPr>
            <w:tcW w:type="dxa" w:w="4680"/>
          </w:tcPr>
          <w:p>
            <w:r/>
            <w:r>
              <w:rPr>
                <w:sz w:val="19"/>
              </w:rPr>
              <w:t>mercancía o uso interno</w:t>
            </w:r>
          </w:p>
        </w:tc>
      </w:tr>
      <w:tr>
        <w:tc>
          <w:tcPr>
            <w:tcW w:type="dxa" w:w="4680"/>
          </w:tcPr>
          <w:p>
            <w:r/>
            <w:r>
              <w:rPr>
                <w:sz w:val="19"/>
              </w:rPr>
              <w:t>Familia / Marca</w:t>
            </w:r>
          </w:p>
        </w:tc>
        <w:tc>
          <w:tcPr>
            <w:tcW w:type="dxa" w:w="4680"/>
          </w:tcPr>
          <w:p>
            <w:r/>
            <w:r>
              <w:rPr>
                <w:sz w:val="19"/>
              </w:rPr>
              <w:t>la clasificación, que vive en el material</w:t>
            </w:r>
          </w:p>
        </w:tc>
      </w:tr>
      <w:tr>
        <w:tc>
          <w:tcPr>
            <w:tcW w:type="dxa" w:w="4680"/>
          </w:tcPr>
          <w:p>
            <w:r/>
            <w:r>
              <w:rPr>
                <w:sz w:val="19"/>
              </w:rPr>
              <w:t>Almacén</w:t>
            </w:r>
          </w:p>
        </w:tc>
        <w:tc>
          <w:tcPr>
            <w:tcW w:type="dxa" w:w="4680"/>
          </w:tcPr>
          <w:p>
            <w:r/>
            <w:r>
              <w:rPr>
                <w:sz w:val="19"/>
              </w:rPr>
              <w:t>el sitio, incluyendo todo lo que cuelga de él</w:t>
            </w:r>
          </w:p>
        </w:tc>
      </w:tr>
      <w:tr>
        <w:tc>
          <w:tcPr>
            <w:tcW w:type="dxa" w:w="4680"/>
          </w:tcPr>
          <w:p>
            <w:r/>
            <w:r>
              <w:rPr>
                <w:sz w:val="19"/>
              </w:rPr>
              <w:t>Estado de la pieza</w:t>
            </w:r>
          </w:p>
        </w:tc>
        <w:tc>
          <w:tcPr>
            <w:tcW w:type="dxa" w:w="4680"/>
          </w:tcPr>
          <w:p>
            <w:r/>
            <w:r>
              <w:rPr>
                <w:sz w:val="19"/>
              </w:rPr>
              <w:t>productos con al menos una pieza en ese estado</w:t>
            </w:r>
          </w:p>
        </w:tc>
      </w:tr>
    </w:tbl>
    <w:p/>
    <w:p>
      <w:pPr>
        <w:pStyle w:val="ListParagraph"/>
        <w:spacing w:after="80"/>
        <w:ind w:left="360"/>
      </w:pPr>
      <w:r>
        <w:rPr>
          <w:b/>
        </w:rPr>
        <w:t xml:space="preserve">El filtro por almacén baja por el árbol. </w:t>
      </w:r>
      <w:r>
        <w:t>Filtrar por una nave trae lo que está en su rack tres niveles abajo. Sin eso el almacén parece vacío cuando lo que pasa es que todo está un nivel más abajo.</w:t>
      </w:r>
    </w:p>
    <w:p>
      <w:pPr>
        <w:pStyle w:val="ListParagraph"/>
        <w:spacing w:after="80"/>
        <w:ind w:left="360"/>
      </w:pPr>
      <w:r>
        <w:rPr>
          <w:b/>
        </w:rPr>
        <w:t xml:space="preserve">Filtra por existencia, no por ficha. </w:t>
      </w:r>
      <w:r>
        <w:t>Un producto cuya ficha dice Nave A pero cuyas unidades están todas en Nave B no está en Nave A, y buscarlo ahí es ir a un sitio donde no hay nada.</w:t>
      </w:r>
    </w:p>
    <w:p>
      <w:pPr>
        <w:pStyle w:val="ListParagraph"/>
        <w:spacing w:after="80"/>
        <w:ind w:left="360"/>
      </w:pPr>
      <w:r>
        <w:rPr>
          <w:b/>
        </w:rPr>
        <w:t xml:space="preserve">Los desplegables se calculan antes de filtrar. </w:t>
      </w:r>
      <w:r>
        <w:t>Calculados después, elegir una familia vaciaba las demás listas, y si la elección no daba resultados desaparecía del propio desplegable que la mostraba. Solo ofrecen opciones con algo detrás, y dicen cuánto.</w:t>
      </w:r>
    </w:p>
    <w:p>
      <w:pPr>
        <w:pStyle w:val="Heading2"/>
      </w:pPr>
      <w:r>
        <w:t>3.4 El orden del menú, normalizado</w:t>
      </w:r>
    </w:p>
    <w:p>
      <w:r>
        <w:rPr>
          <w:b w:val="0"/>
        </w:rPr>
        <w:t>El grupo Inventario se pintaba distinto según el rol, con tres incoherencias a la vez: dos numeraciones —una vieja de 100 a 190 y la del registro, que reserva 200-299—, dos iconos en el mismo grupo, y dos etiquetas para la misma pantalla.</w:t>
      </w:r>
    </w:p>
    <w:p>
      <w:r>
        <w:rPr>
          <w:b w:val="0"/>
        </w:rPr>
        <w:t>Esta migración es la excepción a la regla del día anterior: sí pisa filas que el gestor pudo configurar. Hizo falta porque las filas con el orden viejo ya tenían etiqueta, así que la regla habitual las dejaba fuera y el grupo se quedaba desordenado para siempre. El límite es lo que se toca: se normaliza la presentación —orden, etiqueta e icono— y no se toca ni el permiso ni la visibilidad. Nadie gana ni pierde acceso, y quien eligió esconder una entrada la sigue teniendo escondida.</w:t>
      </w:r>
    </w:p>
    <w:p>
      <w:pPr>
        <w:pStyle w:val="Heading1"/>
      </w:pPr>
      <w:r>
        <w:t>4. Rendimiento: lo que hacía falta para producción</w:t>
      </w:r>
    </w:p>
    <w:p>
      <w:r>
        <w:rPr>
          <w:b w:val="0"/>
        </w:rPr>
        <w:t>Con el almacén de pruebas todo respondía al instante. Para saber si aguanta producción se sembraron 5 000 productos a propósito y se midió la pantalla de localizar, que es la que más se usa y la que busca mientras se escribe.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Búsqueda</w:t>
            </w:r>
          </w:p>
        </w:tc>
        <w:tc>
          <w:tcPr>
            <w:tcW w:type="dxa" w:w="3120"/>
          </w:tcPr>
          <w:p>
            <w:r/>
            <w:r>
              <w:rPr>
                <w:b/>
                <w:sz w:val="19"/>
              </w:rPr>
              <w:t>Antes</w:t>
            </w:r>
          </w:p>
        </w:tc>
        <w:tc>
          <w:tcPr>
            <w:tcW w:type="dxa" w:w="3120"/>
          </w:tcPr>
          <w:p>
            <w:r/>
            <w:r>
              <w:rPr>
                <w:b/>
                <w:sz w:val="19"/>
              </w:rPr>
              <w:t>Después</w:t>
            </w:r>
          </w:p>
        </w:tc>
      </w:tr>
      <w:tr>
        <w:tc>
          <w:tcPr>
            <w:tcW w:type="dxa" w:w="3120"/>
          </w:tcPr>
          <w:p>
            <w:r/>
            <w:r>
              <w:rPr>
                <w:sz w:val="19"/>
              </w:rPr>
              <w:t>'taladro' (1 009 coincidencias)</w:t>
            </w:r>
          </w:p>
        </w:tc>
        <w:tc>
          <w:tcPr>
            <w:tcW w:type="dxa" w:w="3120"/>
          </w:tcPr>
          <w:p>
            <w:r/>
            <w:r>
              <w:rPr>
                <w:sz w:val="19"/>
              </w:rPr>
              <w:t>983 ms · 271 consultas</w:t>
            </w:r>
          </w:p>
        </w:tc>
        <w:tc>
          <w:tcPr>
            <w:tcW w:type="dxa" w:w="3120"/>
          </w:tcPr>
          <w:p>
            <w:r/>
            <w:r>
              <w:rPr>
                <w:sz w:val="19"/>
              </w:rPr>
              <w:t>134 ms · 13 consultas</w:t>
            </w:r>
          </w:p>
        </w:tc>
      </w:tr>
      <w:tr>
        <w:tc>
          <w:tcPr>
            <w:tcW w:type="dxa" w:w="3120"/>
          </w:tcPr>
          <w:p>
            <w:r/>
            <w:r>
              <w:rPr>
                <w:sz w:val="19"/>
              </w:rPr>
              <w:t>todo el almacén (5 019 coincidencias)</w:t>
            </w:r>
          </w:p>
        </w:tc>
        <w:tc>
          <w:tcPr>
            <w:tcW w:type="dxa" w:w="3120"/>
          </w:tcPr>
          <w:p>
            <w:r/>
            <w:r>
              <w:rPr>
                <w:sz w:val="19"/>
              </w:rPr>
              <w:t>1 049 ms · 314 consultas</w:t>
            </w:r>
          </w:p>
        </w:tc>
        <w:tc>
          <w:tcPr>
            <w:tcW w:type="dxa" w:w="3120"/>
          </w:tcPr>
          <w:p>
            <w:r/>
            <w:r>
              <w:rPr>
                <w:sz w:val="19"/>
              </w:rPr>
              <w:t>177 ms · 12 consultas</w:t>
            </w:r>
          </w:p>
        </w:tc>
      </w:tr>
      <w:tr>
        <w:tc>
          <w:tcPr>
            <w:tcW w:type="dxa" w:w="3120"/>
          </w:tcPr>
          <w:p>
            <w:r/>
            <w:r>
              <w:rPr>
                <w:sz w:val="19"/>
              </w:rPr>
              <w:t>un código exacto</w:t>
            </w:r>
          </w:p>
        </w:tc>
        <w:tc>
          <w:tcPr>
            <w:tcW w:type="dxa" w:w="3120"/>
          </w:tcPr>
          <w:p>
            <w:r/>
            <w:r>
              <w:rPr>
                <w:sz w:val="19"/>
              </w:rPr>
              <w:t>77 ms · 18 consultas</w:t>
            </w:r>
          </w:p>
        </w:tc>
        <w:tc>
          <w:tcPr>
            <w:tcW w:type="dxa" w:w="3120"/>
          </w:tcPr>
          <w:p>
            <w:r/>
            <w:r>
              <w:rPr>
                <w:sz w:val="19"/>
              </w:rPr>
              <w:t>43 ms · 11 consultas</w:t>
            </w:r>
          </w:p>
        </w:tc>
      </w:tr>
    </w:tbl>
    <w:p/>
    <w:p>
      <w:r>
        <w:rPr>
          <w:b w:val="0"/>
        </w:rPr>
        <w:t>Siete consultas por producto, y solo un tercio del tiempo era SQL: el resto era el coste de dar 271 vueltas a la base. Cuatro cambios, en orden de cuánto pesaron:</w:t>
      </w:r>
    </w:p>
    <w:p>
      <w:pPr>
        <w:pStyle w:val="ListParagraph"/>
        <w:spacing w:after="80"/>
        <w:ind w:left="360"/>
      </w:pPr>
      <w:r>
        <w:rPr>
          <w:b/>
        </w:rPr>
        <w:t xml:space="preserve">Todo lo que cuelga de un producto se pide en lote. </w:t>
      </w:r>
      <w:r>
        <w:t>Historia, último movimiento, existencias, piezas, bitácoras, clasificación y nombres de responsables: una o dos consultas cada uno para la página completa, no una por producto.</w:t>
      </w:r>
    </w:p>
    <w:p>
      <w:pPr>
        <w:pStyle w:val="ListParagraph"/>
        <w:spacing w:after="80"/>
        <w:ind w:left="360"/>
      </w:pPr>
      <w:r>
        <w:rPr>
          <w:b/>
        </w:rPr>
        <w:t xml:space="preserve">Solo se hidratan los productos de la página. </w:t>
      </w:r>
      <w:r>
        <w:t>Construir mil objetos completos para acabar pintando cuarenta costaba 350 de los 458 ms que quedaban. Ahora la consulta principal trae tuplas y los objetos completos se piden solo para los que se ven.</w:t>
      </w:r>
    </w:p>
    <w:p>
      <w:pPr>
        <w:pStyle w:val="ListParagraph"/>
        <w:spacing w:after="80"/>
        <w:ind w:left="360"/>
      </w:pPr>
      <w:r>
        <w:rPr>
          <w:b/>
        </w:rPr>
        <w:t xml:space="preserve">El alcance se resuelve en el join con la factura. </w:t>
      </w:r>
      <w:r>
        <w:t>Era una consulta por coincidencia; en una base donde cada producto tiene su factura son miles antes incluso de recortar a la página.</w:t>
      </w:r>
    </w:p>
    <w:p>
      <w:pPr>
        <w:pStyle w:val="ListParagraph"/>
        <w:spacing w:after="80"/>
        <w:ind w:left="360"/>
      </w:pPr>
      <w:r>
        <w:rPr>
          <w:b/>
        </w:rPr>
        <w:t xml:space="preserve">Las ubicaciones se cargan por niveles. </w:t>
      </w:r>
      <w:r>
        <w:t>Tantas consultas como profundidad tenga el árbol —dos o tres— en vez de una por ubicación y nivel.</w:t>
      </w:r>
    </w:p>
    <w:p>
      <w:pPr>
        <w:pStyle w:val="Heading2"/>
      </w:pPr>
      <w:r>
        <w:t>4.1 Paginación, en vez de un corte duro</w:t>
      </w:r>
    </w:p>
    <w:p>
      <w:r>
        <w:rPr>
          <w:b w:val="0"/>
        </w:rPr>
        <w:t>Antes se cortaba en 40 resultados y se avisaba «afina la búsqueda para ver el resto». No es una respuesta cuando el filtro ya está puesto y aún quedan doscientas coincidencias: no hay nada que afinar y no había forma de ver el resto. El tamaño de página tiene tope porque llega del cliente: sin él, pedir cien mil por página arma cien mil diccionarios.</w:t>
      </w:r>
    </w:p>
    <w:p>
      <w:pPr>
        <w:pStyle w:val="Heading2"/>
      </w:pPr>
      <w:r>
        <w:t>4.2 Un índice de trigramas para la búsqueda de texto</w:t>
      </w:r>
    </w:p>
    <w:p>
      <w:r>
        <w:rPr>
          <w:b w:val="0"/>
        </w:rPr>
        <w:t>Buscar con comodín al principio no puede usar un índice normal, así que recorre la tabla: 18 ms con 5 000 productos, pero crece lineal. Con 5 000 filas el planificador sigue prefiriendo el recorrido, y hace bien —1 009 de 5 000 es el 20 %—; forzándolo, 1,9 ms contra 13. Lo elegirá cuando la tabla crezca.</w:t>
      </w:r>
    </w:p>
    <w:p>
      <w:r>
        <w:rPr>
          <w:b w:val="0"/>
        </w:rPr>
        <w:t>Va dentro de un bloque con excepción a propósito: instalar la extensión pide superusuario en Postgres 13 y posteriores, y en un Postgres administrado puede no haberlo. Un fallo ahí tumbaría el despliegue entero, y sin el índice la búsqueda funciona igual, solo más despacio.</w:t>
      </w:r>
    </w:p>
    <w:p>
      <w:pPr>
        <w:pStyle w:val="Heading2"/>
      </w:pPr>
      <w:r>
        <w:t>4.3 La prueba que evita que esto se deshaga</w:t>
      </w:r>
    </w:p>
    <w:p>
      <w:r>
        <w:rPr>
          <w:b w:val="0"/>
        </w:rPr>
        <w:t>Este tipo de arreglo se desarma solo. Añadir un dato al resultado —«y de paso, el proveedor de cada producto»— con una consulta dentro del bucle es lo natural, no falla ninguna prueba, y devuelve el problema sin que nadie se entere hasta que un cliente con inventario de verdad se queja de que la búsqueda tarda.</w:t>
      </w:r>
    </w:p>
    <w:p>
      <w:r>
        <w:rPr>
          <w:b w:val="0"/>
        </w:rPr>
        <w:t>Se añadió un archivo de pruebas que cuenta las sentencias que llegan a la base y fija que el número no crece con el número de productos, ni de piezas, ni de movimientos, y que hay un techo absoluto de 20. Verificado metiendo una consulta por producto en el bucle: falla al momento.</w:t>
      </w:r>
    </w:p>
    <w:p>
      <w:pPr>
        <w:pStyle w:val="Heading1"/>
      </w:pPr>
      <w:r>
        <w:t>5. Hallazgo que necesita decisión</w:t>
      </w:r>
    </w:p>
    <w:p>
      <w:r>
        <w:rPr>
          <w:b/>
          <w:color w:val="991B1B"/>
        </w:rPr>
        <w:t>Los identificadores de rol del registro de módulos no coinciden con los de la base.</w:t>
      </w:r>
    </w:p>
    <w:p>
      <w:r>
        <w:rPr>
          <w:b w:val="0"/>
        </w:rPr>
        <w:t>El registro empareja roles por número. Declara los ids 1, 2, 3 y 10 al 18; la base tiene 1, 2, 3, 4, 5, 6 y 10 al 13. Las consecuencias son dos, y ninguna da error: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Lo que el registro cree</w:t>
            </w:r>
          </w:p>
        </w:tc>
        <w:tc>
          <w:tcPr>
            <w:tcW w:type="dxa" w:w="3120"/>
          </w:tcPr>
          <w:p>
            <w:r/>
            <w:r>
              <w:rPr>
                <w:b/>
                <w:sz w:val="19"/>
              </w:rPr>
              <w:t>Lo que la base tiene</w:t>
            </w:r>
          </w:p>
        </w:tc>
        <w:tc>
          <w:tcPr>
            <w:tcW w:type="dxa" w:w="3120"/>
          </w:tcPr>
          <w:p>
            <w:r/>
            <w:r>
              <w:rPr>
                <w:b/>
                <w:sz w:val="19"/>
              </w:rPr>
              <w:t>Efecto</w:t>
            </w:r>
          </w:p>
        </w:tc>
      </w:tr>
      <w:tr>
        <w:tc>
          <w:tcPr>
            <w:tcW w:type="dxa" w:w="3120"/>
          </w:tcPr>
          <w:p>
            <w:r/>
            <w:r>
              <w:rPr>
                <w:sz w:val="19"/>
              </w:rPr>
              <w:t>id 2 = gerente_administrativo</w:t>
            </w:r>
          </w:p>
        </w:tc>
        <w:tc>
          <w:tcPr>
            <w:tcW w:type="dxa" w:w="3120"/>
          </w:tcPr>
          <w:p>
            <w:r/>
            <w:r>
              <w:rPr>
                <w:sz w:val="19"/>
              </w:rPr>
              <w:t>id 2 = Supervisor</w:t>
            </w:r>
          </w:p>
        </w:tc>
        <w:tc>
          <w:tcPr>
            <w:tcW w:type="dxa" w:w="3120"/>
          </w:tcPr>
          <w:p>
            <w:r/>
            <w:r>
              <w:rPr>
                <w:sz w:val="19"/>
              </w:rPr>
              <w:t>Supervisor recibe el acceso diseñado para otro puesto</w:t>
            </w:r>
          </w:p>
        </w:tc>
      </w:tr>
      <w:tr>
        <w:tc>
          <w:tcPr>
            <w:tcW w:type="dxa" w:w="3120"/>
          </w:tcPr>
          <w:p>
            <w:r/>
            <w:r>
              <w:rPr>
                <w:sz w:val="19"/>
              </w:rPr>
              <w:t>id 3 = vendedor</w:t>
            </w:r>
          </w:p>
        </w:tc>
        <w:tc>
          <w:tcPr>
            <w:tcW w:type="dxa" w:w="3120"/>
          </w:tcPr>
          <w:p>
            <w:r/>
            <w:r>
              <w:rPr>
                <w:sz w:val="19"/>
              </w:rPr>
              <w:t>id 3 = Gerente</w:t>
            </w:r>
          </w:p>
        </w:tc>
        <w:tc>
          <w:tcPr>
            <w:tcW w:type="dxa" w:w="3120"/>
          </w:tcPr>
          <w:p>
            <w:r/>
            <w:r>
              <w:rPr>
                <w:sz w:val="19"/>
              </w:rPr>
              <w:t>Gerente recibe el acceso diseñado para un vendedor</w:t>
            </w:r>
          </w:p>
        </w:tc>
      </w:tr>
      <w:tr>
        <w:tc>
          <w:tcPr>
            <w:tcW w:type="dxa" w:w="3120"/>
          </w:tcPr>
          <w:p>
            <w:r/>
            <w:r>
              <w:rPr>
                <w:sz w:val="19"/>
              </w:rPr>
              <w:t>ids 17 y 18 = Almacenista y Jefe de almacén</w:t>
            </w:r>
          </w:p>
        </w:tc>
        <w:tc>
          <w:tcPr>
            <w:tcW w:type="dxa" w:w="3120"/>
          </w:tcPr>
          <w:p>
            <w:r/>
            <w:r>
              <w:rPr>
                <w:sz w:val="19"/>
              </w:rPr>
              <w:t>no existen con esos ids</w:t>
            </w:r>
          </w:p>
        </w:tc>
        <w:tc>
          <w:tcPr>
            <w:tcW w:type="dxa" w:w="3120"/>
          </w:tcPr>
          <w:p>
            <w:r/>
            <w:r>
              <w:rPr>
                <w:sz w:val="19"/>
              </w:rPr>
              <w:t>esos dos roles nunca reciben nada del registro</w:t>
            </w:r>
          </w:p>
        </w:tc>
      </w:tr>
    </w:tbl>
    <w:p/>
    <w:p>
      <w:r>
        <w:rPr>
          <w:b w:val="0"/>
        </w:rPr>
        <w:t>La matriz de permisos salta los ids que no existen, así que Almacenista y Jefe de almacén viven de lo que sembró la semilla inicial. Ésa es la razón de fondo de que nadie pudiera dar de alta una familia de producto.</w:t>
      </w:r>
    </w:p>
    <w:p>
      <w:r>
        <w:rPr>
          <w:b w:val="0"/>
        </w:rPr>
        <w:t>Arreglarlo es renombrar o renumerar los roles de la base, o renumerar el registro, y eso cambia quién puede qué en toda la instalación. Es una decisión de negocio, no técnica, y por eso queda aquí y no en el código.</w:t>
      </w:r>
    </w:p>
    <w:p>
      <w:pPr>
        <w:pStyle w:val="Heading1"/>
      </w:pPr>
      <w:r>
        <w:t>6. Estado al cierre</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Indicador</w:t>
            </w:r>
          </w:p>
        </w:tc>
        <w:tc>
          <w:tcPr>
            <w:tcW w:type="dxa" w:w="4680"/>
          </w:tcPr>
          <w:p>
            <w:r/>
            <w:r>
              <w:rPr>
                <w:b/>
                <w:sz w:val="19"/>
              </w:rPr>
              <w:t>Valor</w:t>
            </w:r>
          </w:p>
        </w:tc>
      </w:tr>
      <w:tr>
        <w:tc>
          <w:tcPr>
            <w:tcW w:type="dxa" w:w="4680"/>
          </w:tcPr>
          <w:p>
            <w:r/>
            <w:r>
              <w:rPr>
                <w:sz w:val="19"/>
              </w:rPr>
              <w:t>Pruebas de backend</w:t>
            </w:r>
          </w:p>
        </w:tc>
        <w:tc>
          <w:tcPr>
            <w:tcW w:type="dxa" w:w="4680"/>
          </w:tcPr>
          <w:p>
            <w:r/>
            <w:r>
              <w:rPr>
                <w:sz w:val="19"/>
              </w:rPr>
              <w:t>1 000 pasan · 12 se omiten · 1 510 subpruebas</w:t>
            </w:r>
          </w:p>
        </w:tc>
      </w:tr>
      <w:tr>
        <w:tc>
          <w:tcPr>
            <w:tcW w:type="dxa" w:w="4680"/>
          </w:tcPr>
          <w:p>
            <w:r/>
            <w:r>
              <w:rPr>
                <w:sz w:val="19"/>
              </w:rPr>
              <w:t>Migraciones</w:t>
            </w:r>
          </w:p>
        </w:tc>
        <w:tc>
          <w:tcPr>
            <w:tcW w:type="dxa" w:w="4680"/>
          </w:tcPr>
          <w:p>
            <w:r/>
            <w:r>
              <w:rPr>
                <w:sz w:val="19"/>
              </w:rPr>
              <w:t>62, reaplicables sin fallar</w:t>
            </w:r>
          </w:p>
        </w:tc>
      </w:tr>
      <w:tr>
        <w:tc>
          <w:tcPr>
            <w:tcW w:type="dxa" w:w="4680"/>
          </w:tcPr>
          <w:p>
            <w:r/>
            <w:r>
              <w:rPr>
                <w:sz w:val="19"/>
              </w:rPr>
              <w:t>Commits subidos hoy</w:t>
            </w:r>
          </w:p>
        </w:tc>
        <w:tc>
          <w:tcPr>
            <w:tcW w:type="dxa" w:w="4680"/>
          </w:tcPr>
          <w:p>
            <w:r/>
            <w:r>
              <w:rPr>
                <w:sz w:val="19"/>
              </w:rPr>
              <w:t>11 (a573a88 → 20d417b)</w:t>
            </w:r>
          </w:p>
        </w:tc>
      </w:tr>
      <w:tr>
        <w:tc>
          <w:tcPr>
            <w:tcW w:type="dxa" w:w="4680"/>
          </w:tcPr>
          <w:p>
            <w:r/>
            <w:r>
              <w:rPr>
                <w:sz w:val="19"/>
              </w:rPr>
              <w:t>Búsqueda del almacén</w:t>
            </w:r>
          </w:p>
        </w:tc>
        <w:tc>
          <w:tcPr>
            <w:tcW w:type="dxa" w:w="4680"/>
          </w:tcPr>
          <w:p>
            <w:r/>
            <w:r>
              <w:rPr>
                <w:sz w:val="19"/>
              </w:rPr>
              <w:t>13 consultas · 134 ms con 5 000 productos</w:t>
            </w:r>
          </w:p>
        </w:tc>
      </w:tr>
      <w:tr>
        <w:tc>
          <w:tcPr>
            <w:tcW w:type="dxa" w:w="4680"/>
          </w:tcPr>
          <w:p>
            <w:r/>
            <w:r>
              <w:rPr>
                <w:sz w:val="19"/>
              </w:rPr>
              <w:t>Grupo Inventario del menú</w:t>
            </w:r>
          </w:p>
        </w:tc>
        <w:tc>
          <w:tcPr>
            <w:tcW w:type="dxa" w:w="4680"/>
          </w:tcPr>
          <w:p>
            <w:r/>
            <w:r>
              <w:rPr>
                <w:sz w:val="19"/>
              </w:rPr>
              <w:t>10 entradas, mismo orden para los 5 roles</w:t>
            </w:r>
          </w:p>
        </w:tc>
      </w:tr>
    </w:tbl>
    <w:p/>
    <w:p>
      <w:r>
        <w:rPr>
          <w:b/>
        </w:rPr>
        <w:t>Pruebas nuevas de la jornada: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Archivo</w:t>
            </w:r>
          </w:p>
        </w:tc>
        <w:tc>
          <w:tcPr>
            <w:tcW w:type="dxa" w:w="3120"/>
          </w:tcPr>
          <w:p>
            <w:r/>
            <w:r>
              <w:rPr>
                <w:b/>
                <w:sz w:val="19"/>
              </w:rPr>
              <w:t>Qué fija</w:t>
            </w:r>
          </w:p>
        </w:tc>
        <w:tc>
          <w:tcPr>
            <w:tcW w:type="dxa" w:w="3120"/>
          </w:tcPr>
          <w:p>
            <w:r/>
            <w:r>
              <w:rPr>
                <w:b/>
                <w:sz w:val="19"/>
              </w:rPr>
              <w:t>Nº</w:t>
            </w:r>
          </w:p>
        </w:tc>
      </w:tr>
      <w:tr>
        <w:tc>
          <w:tcPr>
            <w:tcW w:type="dxa" w:w="3120"/>
          </w:tcPr>
          <w:p>
            <w:r/>
            <w:r>
              <w:rPr>
                <w:sz w:val="19"/>
              </w:rPr>
              <w:t>test_inventory_trace.py</w:t>
            </w:r>
          </w:p>
        </w:tc>
        <w:tc>
          <w:tcPr>
            <w:tcW w:type="dxa" w:w="3120"/>
          </w:tcPr>
          <w:p>
            <w:r/>
            <w:r>
              <w:rPr>
                <w:sz w:val="19"/>
              </w:rPr>
              <w:t>los dos niveles de búsqueda, la cadena, la rama, los filtros y el traslado</w:t>
            </w:r>
          </w:p>
        </w:tc>
        <w:tc>
          <w:tcPr>
            <w:tcW w:type="dxa" w:w="3120"/>
          </w:tcPr>
          <w:p>
            <w:r/>
            <w:r>
              <w:rPr>
                <w:sz w:val="19"/>
              </w:rPr>
              <w:t>37</w:t>
            </w:r>
          </w:p>
        </w:tc>
      </w:tr>
      <w:tr>
        <w:tc>
          <w:tcPr>
            <w:tcW w:type="dxa" w:w="3120"/>
          </w:tcPr>
          <w:p>
            <w:r/>
            <w:r>
              <w:rPr>
                <w:sz w:val="19"/>
              </w:rPr>
              <w:t>test_inventory_trace_queries.py</w:t>
            </w:r>
          </w:p>
        </w:tc>
        <w:tc>
          <w:tcPr>
            <w:tcW w:type="dxa" w:w="3120"/>
          </w:tcPr>
          <w:p>
            <w:r/>
            <w:r>
              <w:rPr>
                <w:sz w:val="19"/>
              </w:rPr>
              <w:t>que el número de consultas no crezca, y la paginación</w:t>
            </w:r>
          </w:p>
        </w:tc>
        <w:tc>
          <w:tcPr>
            <w:tcW w:type="dxa" w:w="3120"/>
          </w:tcPr>
          <w:p>
            <w:r/>
            <w:r>
              <w:rPr>
                <w:sz w:val="19"/>
              </w:rPr>
              <w:t>8</w:t>
            </w:r>
          </w:p>
        </w:tc>
      </w:tr>
      <w:tr>
        <w:tc>
          <w:tcPr>
            <w:tcW w:type="dxa" w:w="3120"/>
          </w:tcPr>
          <w:p>
            <w:r/>
            <w:r>
              <w:rPr>
                <w:sz w:val="19"/>
              </w:rPr>
              <w:t>test_menu_reachability.py</w:t>
            </w:r>
          </w:p>
        </w:tc>
        <w:tc>
          <w:tcPr>
            <w:tcW w:type="dxa" w:w="3120"/>
          </w:tcPr>
          <w:p>
            <w:r/>
            <w:r>
              <w:rPr>
                <w:sz w:val="19"/>
              </w:rPr>
              <w:t>que toda entidad del almacén tenga nombre de menú</w:t>
            </w:r>
          </w:p>
        </w:tc>
        <w:tc>
          <w:tcPr>
            <w:tcW w:type="dxa" w:w="3120"/>
          </w:tcPr>
          <w:p>
            <w:r/>
            <w:r>
              <w:rPr>
                <w:sz w:val="19"/>
              </w:rPr>
              <w:t>3</w:t>
            </w:r>
          </w:p>
        </w:tc>
      </w:tr>
    </w:tbl>
    <w:p/>
    <w:p>
      <w:r>
        <w:rPr>
          <w:b w:val="0"/>
          <w:color w:val="64748B"/>
          <w:sz w:val="19"/>
        </w:rPr>
        <w:t>Las invariantes se verificaron rompiendo el arreglo y comprobando que la prueba falla, no solo viéndolas pasar. Una prueba que pasa antes y después del arreglo no prueba nada.</w:t>
      </w:r>
    </w:p>
    <w:p>
      <w:pPr>
        <w:pStyle w:val="Heading2"/>
      </w:pPr>
      <w:r>
        <w:t>6.1 Lo que queda pendiente</w:t>
      </w:r>
    </w:p>
    <w:p>
      <w:pPr>
        <w:pStyle w:val="ListParagraph"/>
        <w:spacing w:after="80"/>
        <w:ind w:left="360"/>
      </w:pPr>
      <w:r>
        <w:rPr>
          <w:b/>
        </w:rPr>
        <w:t xml:space="preserve">La pantalla no se ha visto renderizada. </w:t>
      </w:r>
      <w:r>
        <w:t>Requiere sesión y no se manipularon credenciales. Falta abrir Almacén → Localizar y confirmar el reparto de los seis controles y los botones de página en el monitor de trabajo.</w:t>
      </w:r>
    </w:p>
    <w:p>
      <w:pPr>
        <w:pStyle w:val="ListParagraph"/>
        <w:spacing w:after="80"/>
        <w:ind w:left="360"/>
      </w:pPr>
      <w:r>
        <w:rPr>
          <w:b/>
        </w:rPr>
        <w:t xml:space="preserve">El resto del menú arrastra el mismo desorden. </w:t>
      </w:r>
      <w:r>
        <w:t>Se normalizó solo el grupo Inventario, a propósito. Los demás grupos tienen la misma mezcla de numeraciones.</w:t>
      </w:r>
    </w:p>
    <w:p>
      <w:pPr>
        <w:pStyle w:val="ListParagraph"/>
        <w:spacing w:after="80"/>
        <w:ind w:left="360"/>
      </w:pPr>
      <w:r>
        <w:rPr>
          <w:b/>
        </w:rPr>
        <w:t xml:space="preserve">El desfase de identificadores de rol. </w:t>
      </w:r>
      <w:r>
        <w:t>Sección 5. Necesita decisión antes de tocarlo.</w:t>
      </w:r>
    </w:p>
    <w:p>
      <w:pPr>
        <w:pStyle w:val="ListParagraph"/>
        <w:spacing w:after="80"/>
        <w:ind w:left="360"/>
      </w:pPr>
      <w:r>
        <w:rPr>
          <w:b/>
        </w:rPr>
        <w:t xml:space="preserve">La licencia firmada. </w:t>
      </w:r>
      <w:r>
        <w:t>El plan del despliegue funciona; la firma criptográfica sigue pendiente de la jornada anterior.</w:t>
      </w:r>
    </w:p>
    <w:p/>
    <w:p>
      <w:pPr>
        <w:jc w:val="center"/>
      </w:pPr>
      <w:r>
        <w:rPr>
          <w:b w:val="0"/>
          <w:color w:val="64748B"/>
          <w:sz w:val="18"/>
        </w:rPr>
        <w:t>Documento generado el 3 de septiembre de 2026 · TYAKXA ERP/CRM/SCM · rama initAngm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7A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7A6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