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7A60"/>
          <w:sz w:val="32"/>
        </w:rPr>
        <w:t>TYAKXA · ERP / CRM / SCM</w:t>
      </w:r>
    </w:p>
    <w:p>
      <w:pPr>
        <w:jc w:val="center"/>
      </w:pPr>
      <w:r>
        <w:rPr>
          <w:b/>
          <w:sz w:val="44"/>
        </w:rPr>
        <w:t>Bitácora del día</w:t>
      </w:r>
    </w:p>
    <w:p>
      <w:pPr>
        <w:jc w:val="center"/>
      </w:pPr>
      <w:r>
        <w:rPr>
          <w:b w:val="0"/>
          <w:color w:val="64748B"/>
          <w:sz w:val="22"/>
        </w:rPr>
        <w:t>Tres defectos silenciosos, el catálogo del SAT y el almacén normalizado</w:t>
      </w:r>
    </w:p>
    <w:p>
      <w:pPr>
        <w:jc w:val="center"/>
      </w:pPr>
      <w:r>
        <w:rPr>
          <w:b/>
        </w:rPr>
        <w:t>4 de septiembre de 2026</w:t>
      </w:r>
    </w:p>
    <w:p>
      <w:pPr>
        <w:jc w:val="center"/>
      </w:pPr>
      <w:r>
        <w:rPr>
          <w:b w:val="0"/>
          <w:color w:val="64748B"/>
          <w:sz w:val="19"/>
        </w:rPr>
        <w:t>Repositorio: tyakxa_tny · rama initAngm · 6 commits propios + merge de initAlan (09b3e62 → 520a469)</w:t>
      </w:r>
    </w:p>
    <w:p>
      <w:pPr>
        <w:pStyle w:val="Heading1"/>
      </w:pPr>
      <w:r>
        <w:t>1. Resumen ejecutivo</w:t>
      </w:r>
    </w:p>
    <w:p>
      <w:r>
        <w:rPr>
          <w:b w:val="0"/>
        </w:rPr>
        <w:t>La jornada empezó con una petición de pruebas unitarias para operaciones, inventario y facturación, y el resultado fue mejor de lo esperado y peor de lo esperado a la vez.</w:t>
      </w:r>
    </w:p>
    <w:p>
      <w:r>
        <w:rPr>
          <w:b w:val="0"/>
        </w:rPr>
        <w:t>Mejor: los tres módulos ya estaban bien cubiertos. Facturación tiene 84 pruebas entre pagos, notas de crédito y cancelaciones; inventario 51; operaciones cubre los ciclos de vida completos de tarea e incidencia. De 22 reglas del almacén que se sondearon, las 22 se sostienen con su clave de error específica.</w:t>
      </w:r>
    </w:p>
    <w:p>
      <w:r>
        <w:rPr>
          <w:b w:val="0"/>
        </w:rPr>
        <w:t>Peor: las que faltaban eran las que importan. Tres defectos, y los tres silenciosos —no dan error, dan un resultado creíble y equivocado—. El más grave permitía que un abono de $900 se reportara como registrado cuando en la cuenta quedaban $100.</w:t>
      </w:r>
    </w:p>
    <w:p>
      <w:r>
        <w:rPr>
          <w:b w:val="0"/>
        </w:rPr>
        <w:t>Después se cargó el catálogo del SAT y se puso a validar, se normalizó el modelo del almacén —el tipo del material, el estatus contra catálogo, el vale como rastro— y se hicieron sus dos pantallas.</w:t>
      </w:r>
    </w:p>
    <w:p>
      <w:r>
        <w:rPr>
          <w:b w:val="0"/>
        </w:rPr>
        <w:t>Y salió un hallazgo de método que cambia lo que valen todas las pruebas del proyecto: la suite corre sobre SQLite, no sobre PostgreSQL. Está en la sección 6.</w:t>
      </w:r>
    </w:p>
    <w:p>
      <w:r>
        <w:rPr>
          <w:b w:val="0"/>
        </w:rPr>
        <w:t>Al cierre: 1 074 pruebas en verde con la rama de Alan integrada, 67 migraciones reaplicables, y el catálogo del SAT cargado con sus 52 514 claves.</w:t>
      </w:r>
    </w:p>
    <w:p>
      <w:pPr>
        <w:pStyle w:val="Heading1"/>
      </w:pPr>
      <w:r>
        <w:t>2. Los tres defectos silenciosos</w:t>
      </w:r>
    </w:p>
    <w:p>
      <w:r>
        <w:rPr>
          <w:b w:val="0"/>
        </w:rPr>
        <w:t>Se encontraron con una batería de 35 sondas sobre los bordes de los tres módulos. No se escribieron pruebas a ciegas: se sondeó primero y se trabajó sobre lo que falló.</w:t>
      </w:r>
    </w:p>
    <w:p>
      <w:pPr>
        <w:pStyle w:val="Heading2"/>
      </w:pPr>
      <w:r>
        <w:t>2.1 La llave de idempotencia no comparaba la petición</w:t>
      </w:r>
    </w:p>
    <w:p>
      <w:r>
        <w:rPr>
          <w:b w:val="0"/>
        </w:rPr>
        <w:t>Una llave de idempotencia promete una cosa: repetir la MISMA petición no la aplica dos veces. No promete nada sobre repetir la llave con datos distintos, y eso era justo lo que pasaba: el guardia sólo comparaba a qué producto —o a qué factura— pertenecía el registro guardado.</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Se manda</w:t>
            </w:r>
          </w:p>
        </w:tc>
        <w:tc>
          <w:tcPr>
            <w:tcW w:type="dxa" w:w="3120"/>
          </w:tcPr>
          <w:p>
            <w:r/>
            <w:r>
              <w:rPr>
                <w:b/>
                <w:sz w:val="19"/>
              </w:rPr>
              <w:t>Devolvía</w:t>
            </w:r>
          </w:p>
        </w:tc>
        <w:tc>
          <w:tcPr>
            <w:tcW w:type="dxa" w:w="3120"/>
          </w:tcPr>
          <w:p>
            <w:r/>
            <w:r>
              <w:rPr>
                <w:b/>
                <w:sz w:val="19"/>
              </w:rPr>
              <w:t>Contestaba</w:t>
            </w:r>
          </w:p>
        </w:tc>
      </w:tr>
      <w:tr>
        <w:tc>
          <w:tcPr>
            <w:tcW w:type="dxa" w:w="3120"/>
          </w:tcPr>
          <w:p>
            <w:r/>
            <w:r>
              <w:rPr>
                <w:sz w:val="19"/>
              </w:rPr>
              <w:t>Abono de 100 con la llave «K», luego 900 con la misma</w:t>
            </w:r>
          </w:p>
        </w:tc>
        <w:tc>
          <w:tcPr>
            <w:tcW w:type="dxa" w:w="3120"/>
          </w:tcPr>
          <w:p>
            <w:r/>
            <w:r>
              <w:rPr>
                <w:sz w:val="19"/>
              </w:rPr>
              <w:t>el abono de 100</w:t>
            </w:r>
          </w:p>
        </w:tc>
        <w:tc>
          <w:tcPr>
            <w:tcW w:type="dxa" w:w="3120"/>
          </w:tcPr>
          <w:p>
            <w:r/>
            <w:r>
              <w:rPr>
                <w:sz w:val="19"/>
              </w:rPr>
              <w:t>200, todo bien</w:t>
            </w:r>
          </w:p>
        </w:tc>
      </w:tr>
      <w:tr>
        <w:tc>
          <w:tcPr>
            <w:tcW w:type="dxa" w:w="3120"/>
          </w:tcPr>
          <w:p>
            <w:r/>
            <w:r>
              <w:rPr>
                <w:sz w:val="19"/>
              </w:rPr>
              <w:t>Entrada de 10 unidades con «K», luego 99 con la misma</w:t>
            </w:r>
          </w:p>
        </w:tc>
        <w:tc>
          <w:tcPr>
            <w:tcW w:type="dxa" w:w="3120"/>
          </w:tcPr>
          <w:p>
            <w:r/>
            <w:r>
              <w:rPr>
                <w:sz w:val="19"/>
              </w:rPr>
              <w:t>el asiento de 10</w:t>
            </w:r>
          </w:p>
        </w:tc>
        <w:tc>
          <w:tcPr>
            <w:tcW w:type="dxa" w:w="3120"/>
          </w:tcPr>
          <w:p>
            <w:r/>
            <w:r>
              <w:rPr>
                <w:sz w:val="19"/>
              </w:rPr>
              <w:t>200, todo bien</w:t>
            </w:r>
          </w:p>
        </w:tc>
      </w:tr>
      <w:tr>
        <w:tc>
          <w:tcPr>
            <w:tcW w:type="dxa" w:w="3120"/>
          </w:tcPr>
          <w:p>
            <w:r/>
            <w:r>
              <w:rPr>
                <w:sz w:val="19"/>
              </w:rPr>
              <w:t>Traslado de 10 con «K», luego 25 con la misma</w:t>
            </w:r>
          </w:p>
        </w:tc>
        <w:tc>
          <w:tcPr>
            <w:tcW w:type="dxa" w:w="3120"/>
          </w:tcPr>
          <w:p>
            <w:r/>
            <w:r>
              <w:rPr>
                <w:sz w:val="19"/>
              </w:rPr>
              <w:t>el par de asientos de 10</w:t>
            </w:r>
          </w:p>
        </w:tc>
        <w:tc>
          <w:tcPr>
            <w:tcW w:type="dxa" w:w="3120"/>
          </w:tcPr>
          <w:p>
            <w:r/>
            <w:r>
              <w:rPr>
                <w:sz w:val="19"/>
              </w:rPr>
              <w:t>200, todo bien</w:t>
            </w:r>
          </w:p>
        </w:tc>
      </w:tr>
    </w:tbl>
    <w:p/>
    <w:p>
      <w:r>
        <w:rPr>
          <w:b w:val="0"/>
        </w:rPr>
        <w:t>No es un caso raro. Es exactamente lo que pasa cuando la primera llamada llevaba un error de captura y alguien reintenta con el dato corregido reusando la misma llave, que es lo que hace quien trata la llave como «identificador de esta operación» en vez de «huella de esta petición».</w:t>
      </w:r>
    </w:p>
    <w:p>
      <w:r>
        <w:rPr>
          <w:b w:val="0"/>
        </w:rPr>
        <w:t>Ahora se compara la petición entrante con lo guardado. Iguales: se devuelve lo guardado, que es la promesa de la idempotencia. Distintas: 409, y el error dice qué se había guardado con esa llave, para que quien reintentó pueda ver que la estaba reusando en vez de recibir un 409 seco.</w:t>
      </w:r>
    </w:p>
    <w:p>
      <w:r>
        <w:rPr>
          <w:b w:val="0"/>
        </w:rPr>
        <w:t>Del almacén se comparan movimiento, cantidad, ubicación y documento de respaldo. El motivo no entra: es texto libre y corregir una falta de ortografía no es otra petición.</w:t>
      </w:r>
    </w:p>
    <w:p>
      <w:pPr>
        <w:pStyle w:val="Heading2"/>
      </w:pPr>
      <w:r>
        <w:t>2.2 El tipo de cambio se suponía 1</w:t>
      </w:r>
    </w:p>
    <w:p>
      <w:r>
        <w:rPr>
          <w:b w:val="0"/>
        </w:rPr>
        <w:t>Al crear una factura, el tipo de cambio se rellenaba con 1 cuando no venía capturado, para cualquier moneda. Elegir USD y no tocar el campo daba una factura de 116 USD «a un peso por dólar», y el validador sólo lo marcaba como AVISO: medido, se podía timbrar. El SAT habría leído 116 pesos por algo que cuesta unos dos mil.</w:t>
      </w:r>
    </w:p>
    <w:p>
      <w:r>
        <w:rPr>
          <w:b w:val="0"/>
        </w:rPr>
        <w:t>El arreglo va a la causa y no al síntoma. En moneda extranjera sin capturar el tipo de cambio queda en cero, que es como el validador ya lee «no capturado», y el mismo validador lo convierte en error y pide el dato. No se tocó el aviso: un 1 explícito se sigue respetando, porque una moneda a la par es raro pero legal.</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Caso</w:t>
            </w:r>
          </w:p>
        </w:tc>
        <w:tc>
          <w:tcPr>
            <w:tcW w:type="dxa" w:w="3120"/>
          </w:tcPr>
          <w:p>
            <w:r/>
            <w:r>
              <w:rPr>
                <w:b/>
                <w:sz w:val="19"/>
              </w:rPr>
              <w:t>Antes</w:t>
            </w:r>
          </w:p>
        </w:tc>
        <w:tc>
          <w:tcPr>
            <w:tcW w:type="dxa" w:w="3120"/>
          </w:tcPr>
          <w:p>
            <w:r/>
            <w:r>
              <w:rPr>
                <w:b/>
                <w:sz w:val="19"/>
              </w:rPr>
              <w:t>Ahora</w:t>
            </w:r>
          </w:p>
        </w:tc>
      </w:tr>
      <w:tr>
        <w:tc>
          <w:tcPr>
            <w:tcW w:type="dxa" w:w="3120"/>
          </w:tcPr>
          <w:p>
            <w:r/>
            <w:r>
              <w:rPr>
                <w:sz w:val="19"/>
              </w:rPr>
              <w:t>Pesos</w:t>
            </w:r>
          </w:p>
        </w:tc>
        <w:tc>
          <w:tcPr>
            <w:tcW w:type="dxa" w:w="3120"/>
          </w:tcPr>
          <w:p>
            <w:r/>
            <w:r>
              <w:rPr>
                <w:sz w:val="19"/>
              </w:rPr>
              <w:t>timbra</w:t>
            </w:r>
          </w:p>
        </w:tc>
        <w:tc>
          <w:tcPr>
            <w:tcW w:type="dxa" w:w="3120"/>
          </w:tcPr>
          <w:p>
            <w:r/>
            <w:r>
              <w:rPr>
                <w:sz w:val="19"/>
              </w:rPr>
              <w:t>timbra igual</w:t>
            </w:r>
          </w:p>
        </w:tc>
      </w:tr>
      <w:tr>
        <w:tc>
          <w:tcPr>
            <w:tcW w:type="dxa" w:w="3120"/>
          </w:tcPr>
          <w:p>
            <w:r/>
            <w:r>
              <w:rPr>
                <w:sz w:val="19"/>
              </w:rPr>
              <w:t>USD sin tipo de cambio</w:t>
            </w:r>
          </w:p>
        </w:tc>
        <w:tc>
          <w:tcPr>
            <w:tcW w:type="dxa" w:w="3120"/>
          </w:tcPr>
          <w:p>
            <w:r/>
            <w:r>
              <w:rPr>
                <w:sz w:val="19"/>
              </w:rPr>
              <w:t>timbra, con un aviso</w:t>
            </w:r>
          </w:p>
        </w:tc>
        <w:tc>
          <w:tcPr>
            <w:tcW w:type="dxa" w:w="3120"/>
          </w:tcPr>
          <w:p>
            <w:r/>
            <w:r>
              <w:rPr>
                <w:sz w:val="19"/>
              </w:rPr>
              <w:t>pide el dato</w:t>
            </w:r>
          </w:p>
        </w:tc>
      </w:tr>
      <w:tr>
        <w:tc>
          <w:tcPr>
            <w:tcW w:type="dxa" w:w="3120"/>
          </w:tcPr>
          <w:p>
            <w:r/>
            <w:r>
              <w:rPr>
                <w:sz w:val="19"/>
              </w:rPr>
              <w:t>USD a 17.85</w:t>
            </w:r>
          </w:p>
        </w:tc>
        <w:tc>
          <w:tcPr>
            <w:tcW w:type="dxa" w:w="3120"/>
          </w:tcPr>
          <w:p>
            <w:r/>
            <w:r>
              <w:rPr>
                <w:sz w:val="19"/>
              </w:rPr>
              <w:t>timbra</w:t>
            </w:r>
          </w:p>
        </w:tc>
        <w:tc>
          <w:tcPr>
            <w:tcW w:type="dxa" w:w="3120"/>
          </w:tcPr>
          <w:p>
            <w:r/>
            <w:r>
              <w:rPr>
                <w:sz w:val="19"/>
              </w:rPr>
              <w:t>timbra</w:t>
            </w:r>
          </w:p>
        </w:tc>
      </w:tr>
      <w:tr>
        <w:tc>
          <w:tcPr>
            <w:tcW w:type="dxa" w:w="3120"/>
          </w:tcPr>
          <w:p>
            <w:r/>
            <w:r>
              <w:rPr>
                <w:sz w:val="19"/>
              </w:rPr>
              <w:t>USD con 1 explícito</w:t>
            </w:r>
          </w:p>
        </w:tc>
        <w:tc>
          <w:tcPr>
            <w:tcW w:type="dxa" w:w="3120"/>
          </w:tcPr>
          <w:p>
            <w:r/>
            <w:r>
              <w:rPr>
                <w:sz w:val="19"/>
              </w:rPr>
              <w:t>timbra, con un aviso</w:t>
            </w:r>
          </w:p>
        </w:tc>
        <w:tc>
          <w:tcPr>
            <w:tcW w:type="dxa" w:w="3120"/>
          </w:tcPr>
          <w:p>
            <w:r/>
            <w:r>
              <w:rPr>
                <w:sz w:val="19"/>
              </w:rPr>
              <w:t>timbra, con el mismo aviso</w:t>
            </w:r>
          </w:p>
        </w:tc>
      </w:tr>
    </w:tbl>
    <w:p/>
    <w:p>
      <w:pPr>
        <w:pStyle w:val="Heading2"/>
      </w:pPr>
      <w:r>
        <w:t>2.3 Cancelar una factura dejaba sus abonos vivos</w:t>
      </w:r>
    </w:p>
    <w:p>
      <w:r>
        <w:rPr>
          <w:b w:val="0"/>
        </w:rPr>
        <w:t>Medido: factura de 1 160 en parcialidades, abono de 500, se cancela —sin una queja— y el estado de cuenta seguía diciendo «saldo 660» de una factura que fiscalmente ya no existe. Las cuentas por cobrar contaban dinero de facturas canceladas.</w:t>
      </w:r>
    </w:p>
    <w:p>
      <w:r>
        <w:rPr>
          <w:b w:val="0"/>
        </w:rPr>
        <w:t>No se bloquea la cancelación, se cancelan los abonos. Bloquear dejaría al usuario sin salida: no existe ruta para anular un abono por separado, así que no podría ni cancelar la factura ni quitar el abono. Y los abonos son de la factura: si ella se cancela, ellos no pueden seguir vigentes.</w:t>
      </w:r>
    </w:p>
    <w:p>
      <w:r>
        <w:rPr>
          <w:b w:val="0"/>
        </w:rPr>
        <w:t>El estado «cancelado» ya existía y el servicio de pagos ya lo excluía del saldo; lo que faltaba era que alguien lo marcara. Se marcan, no se borran: un abono cancelado es historia contable —se cobró y se revirtió— y eso hay que poder verlo. La vista previa avisa antes, porque cancelar una factura con abonos es una decisión contable y enterarse después no sirve de nada.</w:t>
      </w:r>
    </w:p>
    <w:p>
      <w:pPr>
        <w:pStyle w:val="Heading2"/>
      </w:pPr>
      <w:r>
        <w:t>2.4 Un error de método propio, que vale anotar</w:t>
      </w:r>
    </w:p>
    <w:p>
      <w:r>
        <w:rPr>
          <w:b w:val="0"/>
          <w:color w:val="64748B"/>
        </w:rPr>
        <w:t>Las cuatro primeras sondas de pagos pasaban por el motivo equivocado. `assertRaises(AppError)` acepta cualquier error, y mi carga tenía el campo mal escrito: reventaban por «payment_form_invalid» y se leían como si el guardia del saldo funcionara.</w:t>
      </w:r>
    </w:p>
    <w:p>
      <w:r>
        <w:rPr>
          <w:b w:val="0"/>
          <w:color w:val="64748B"/>
        </w:rPr>
        <w:t>Las pruebas que quedaron comprueban la clave del error concreto, no sólo que reviente. Una prueba que pasa por la razón equivocada es peor que ninguna: da confianza sin darla.</w:t>
      </w:r>
    </w:p>
    <w:p>
      <w:pPr>
        <w:pStyle w:val="Heading1"/>
      </w:pPr>
      <w:r>
        <w:t>3. El catálogo del SAT, cargado y validando</w:t>
      </w:r>
    </w:p>
    <w:p>
      <w:r>
        <w:rPr>
          <w:b w:val="0"/>
        </w:rPr>
        <w:t>Se validaba el formato —ocho dígitos— y nada más, así que «00000000» pasaba y la factura llegaba al PAC para que el PAC la rechazara. El catálogo oficial son 52 514 claves: teclear una que no existe es fácil, y el error se descubría al timbrar, con el mensaje que el PAC quisiera dar.</w:t>
      </w:r>
    </w:p>
    <w:p>
      <w:r>
        <w:rPr>
          <w:b w:val="0"/>
        </w:rPr>
        <w:t>El CSV oficial ya venía en el repositorio y había importador. Se cargó, y ahora el preflight rechaza la clave que no está, señalando el concepto.</w:t>
      </w:r>
    </w:p>
    <w:p>
      <w:r>
        <w:rPr>
          <w:b/>
        </w:rPr>
        <w:t>La salvaguarda importa más que la validación:</w:t>
      </w:r>
    </w:p>
    <w:p>
      <w:r>
        <w:rPr>
          <w:b w:val="0"/>
        </w:rPr>
        <w:t>Sin catálogo cargado no se rechaza nada. Sin él no se puede afirmar que una clave no exista, y darla por inexistente dejaría sin facturar a un despliegue que todavía no lo importó. Sin catálogo se valida el formato, como antes.</w:t>
      </w:r>
    </w:p>
    <w:p>
      <w:pPr>
        <w:pStyle w:val="Heading2"/>
      </w:pPr>
      <w:r>
        <w:t>3.1 El importador era un problema en sí</w:t>
      </w:r>
    </w:p>
    <w:p>
      <w:r>
        <w:rPr>
          <w:b w:val="0"/>
        </w:rPr>
        <w:t>Reimportar el mismo archivo mandaba 52 514 UPDATE para dejar la tabla igual: medido, 18 segundos y la tabla entera reescrita. Como el catálogo se carga en cada despliegue, ese coste se paga en cada arranque y se multiplica por cada réplica.</w:t>
      </w:r>
    </w:p>
    <w:p>
      <w:r>
        <w:rPr>
          <w:b w:val="0"/>
        </w:rPr>
        <w:t>Ahora compara antes de escribir e informa las filas sin cambios; los INSERT van en lote y las claves existentes se precargan como tuplas en vez de hidratar 52 514 objetos del ORM para acabar comparando dos cadenas.</w:t>
      </w:r>
    </w:p>
    <w:p>
      <w:pPr>
        <w:pStyle w:val="Heading2"/>
      </w:pPr>
      <w:r>
        <w:t>3.2 La clave de unidad sólo avisa, y es deliberado</w:t>
      </w:r>
    </w:p>
    <w:p>
      <w:r>
        <w:rPr>
          <w:b w:val="0"/>
        </w:rPr>
        <w:t>De c_ClaveUnidad no hay catálogo oficial en el repositorio, sólo veinte claves de uso frecuente. Rechazar «GLI» por no estar en una lista curada sería rechazar una clave válida del SAT, así que se emite un aviso y no un error. Con el CSV oficial se puede hacer estricto igual que el de productos: el mecanismo ya está.</w:t>
      </w:r>
    </w:p>
    <w:p>
      <w:pPr>
        <w:pStyle w:val="Heading1"/>
      </w:pPr>
      <w:r>
        <w:t>4. El modelo del almacén, normalizado</w:t>
      </w:r>
    </w:p>
    <w:p>
      <w:r>
        <w:rPr>
          <w:b w:val="0"/>
        </w:rPr>
        <w:t>Se planteó el modelo que hay que sostener: un material se define por su FAMILIA, su TIPO y su MARCA —desarmadores / plano / Truper— y de ahí salen productos. Para saber quién tiene qué se levanta un vale con tipo, responsable, estado y renglones.</w:t>
      </w:r>
    </w:p>
    <w:p>
      <w:r>
        <w:rPr>
          <w:b w:val="0"/>
        </w:rPr>
        <w:t>Casi todo estaba ya, con otros nombres. El mapeo:</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Lo pedido</w:t>
            </w:r>
          </w:p>
        </w:tc>
        <w:tc>
          <w:tcPr>
            <w:tcW w:type="dxa" w:w="3120"/>
          </w:tcPr>
          <w:p>
            <w:r/>
            <w:r>
              <w:rPr>
                <w:b/>
                <w:sz w:val="19"/>
              </w:rPr>
              <w:t>Ya existía como</w:t>
            </w:r>
          </w:p>
        </w:tc>
        <w:tc>
          <w:tcPr>
            <w:tcW w:type="dxa" w:w="3120"/>
          </w:tcPr>
          <w:p>
            <w:r/>
            <w:r>
              <w:rPr>
                <w:b/>
                <w:sz w:val="19"/>
              </w:rPr>
              <w:t>Estado</w:t>
            </w:r>
          </w:p>
        </w:tc>
      </w:tr>
      <w:tr>
        <w:tc>
          <w:tcPr>
            <w:tcW w:type="dxa" w:w="3120"/>
          </w:tcPr>
          <w:p>
            <w:r/>
            <w:r>
              <w:rPr>
                <w:sz w:val="19"/>
              </w:rPr>
              <w:t>familia</w:t>
            </w:r>
          </w:p>
        </w:tc>
        <w:tc>
          <w:tcPr>
            <w:tcW w:type="dxa" w:w="3120"/>
          </w:tcPr>
          <w:p>
            <w:r/>
            <w:r>
              <w:rPr>
                <w:sz w:val="19"/>
              </w:rPr>
              <w:t>product_family</w:t>
            </w:r>
          </w:p>
        </w:tc>
        <w:tc>
          <w:tcPr>
            <w:tcW w:type="dxa" w:w="3120"/>
          </w:tcPr>
          <w:p>
            <w:r/>
            <w:r>
              <w:rPr>
                <w:sz w:val="19"/>
              </w:rPr>
              <w:t>estaba</w:t>
            </w:r>
          </w:p>
        </w:tc>
      </w:tr>
      <w:tr>
        <w:tc>
          <w:tcPr>
            <w:tcW w:type="dxa" w:w="3120"/>
          </w:tcPr>
          <w:p>
            <w:r/>
            <w:r>
              <w:rPr>
                <w:sz w:val="19"/>
              </w:rPr>
              <w:t>tipo (plano, de cruz)</w:t>
            </w:r>
          </w:p>
        </w:tc>
        <w:tc>
          <w:tcPr>
            <w:tcW w:type="dxa" w:w="3120"/>
          </w:tcPr>
          <w:p>
            <w:r/>
            <w:r>
              <w:rPr>
                <w:sz w:val="19"/>
              </w:rPr>
              <w:t>—</w:t>
            </w:r>
          </w:p>
        </w:tc>
        <w:tc>
          <w:tcPr>
            <w:tcW w:type="dxa" w:w="3120"/>
          </w:tcPr>
          <w:p>
            <w:r/>
            <w:r>
              <w:rPr>
                <w:sz w:val="19"/>
              </w:rPr>
              <w:t>faltaba</w:t>
            </w:r>
          </w:p>
        </w:tc>
      </w:tr>
      <w:tr>
        <w:tc>
          <w:tcPr>
            <w:tcW w:type="dxa" w:w="3120"/>
          </w:tcPr>
          <w:p>
            <w:r/>
            <w:r>
              <w:rPr>
                <w:sz w:val="19"/>
              </w:rPr>
              <w:t>marca</w:t>
            </w:r>
          </w:p>
        </w:tc>
        <w:tc>
          <w:tcPr>
            <w:tcW w:type="dxa" w:w="3120"/>
          </w:tcPr>
          <w:p>
            <w:r/>
            <w:r>
              <w:rPr>
                <w:sz w:val="19"/>
              </w:rPr>
              <w:t>brand</w:t>
            </w:r>
          </w:p>
        </w:tc>
        <w:tc>
          <w:tcPr>
            <w:tcW w:type="dxa" w:w="3120"/>
          </w:tcPr>
          <w:p>
            <w:r/>
            <w:r>
              <w:rPr>
                <w:sz w:val="19"/>
              </w:rPr>
              <w:t>estaba</w:t>
            </w:r>
          </w:p>
        </w:tc>
      </w:tr>
      <w:tr>
        <w:tc>
          <w:tcPr>
            <w:tcW w:type="dxa" w:w="3120"/>
          </w:tcPr>
          <w:p>
            <w:r/>
            <w:r>
              <w:rPr>
                <w:sz w:val="19"/>
              </w:rPr>
              <w:t>vale / incidente</w:t>
            </w:r>
          </w:p>
        </w:tc>
        <w:tc>
          <w:tcPr>
            <w:tcW w:type="dxa" w:w="3120"/>
          </w:tcPr>
          <w:p>
            <w:r/>
            <w:r>
              <w:rPr>
                <w:sz w:val="19"/>
              </w:rPr>
              <w:t>incident (tipo, usuario, estado, fechas)</w:t>
            </w:r>
          </w:p>
        </w:tc>
        <w:tc>
          <w:tcPr>
            <w:tcW w:type="dxa" w:w="3120"/>
          </w:tcPr>
          <w:p>
            <w:r/>
            <w:r>
              <w:rPr>
                <w:sz w:val="19"/>
              </w:rPr>
              <w:t>estaba</w:t>
            </w:r>
          </w:p>
        </w:tc>
      </w:tr>
      <w:tr>
        <w:tc>
          <w:tcPr>
            <w:tcW w:type="dxa" w:w="3120"/>
          </w:tcPr>
          <w:p>
            <w:r/>
            <w:r>
              <w:rPr>
                <w:sz w:val="19"/>
              </w:rPr>
              <w:t>entidad intermediaria</w:t>
            </w:r>
          </w:p>
        </w:tc>
        <w:tc>
          <w:tcPr>
            <w:tcW w:type="dxa" w:w="3120"/>
          </w:tcPr>
          <w:p>
            <w:r/>
            <w:r>
              <w:rPr>
                <w:sz w:val="19"/>
              </w:rPr>
              <w:t>nm_incident_product</w:t>
            </w:r>
          </w:p>
        </w:tc>
        <w:tc>
          <w:tcPr>
            <w:tcW w:type="dxa" w:w="3120"/>
          </w:tcPr>
          <w:p>
            <w:r/>
            <w:r>
              <w:rPr>
                <w:sz w:val="19"/>
              </w:rPr>
              <w:t>sin ubicación ni fechas</w:t>
            </w:r>
          </w:p>
        </w:tc>
      </w:tr>
      <w:tr>
        <w:tc>
          <w:tcPr>
            <w:tcW w:type="dxa" w:w="3120"/>
          </w:tcPr>
          <w:p>
            <w:r/>
            <w:r>
              <w:rPr>
                <w:sz w:val="19"/>
              </w:rPr>
              <w:t>cierre automático del vale</w:t>
            </w:r>
          </w:p>
        </w:tc>
        <w:tc>
          <w:tcPr>
            <w:tcW w:type="dxa" w:w="3120"/>
          </w:tcPr>
          <w:p>
            <w:r/>
            <w:r>
              <w:rPr>
                <w:sz w:val="19"/>
              </w:rPr>
              <w:t>—</w:t>
            </w:r>
          </w:p>
        </w:tc>
        <w:tc>
          <w:tcPr>
            <w:tcW w:type="dxa" w:w="3120"/>
          </w:tcPr>
          <w:p>
            <w:r/>
            <w:r>
              <w:rPr>
                <w:sz w:val="19"/>
              </w:rPr>
              <w:t>faltaba</w:t>
            </w:r>
          </w:p>
        </w:tc>
      </w:tr>
    </w:tbl>
    <w:p/>
    <w:p>
      <w:pPr>
        <w:pStyle w:val="Heading2"/>
      </w:pPr>
      <w:r>
        <w:t>4.1 El tipo cuelga de la familia, no suelto</w:t>
      </w:r>
    </w:p>
    <w:p>
      <w:r>
        <w:rPr>
          <w:b w:val="0"/>
        </w:rPr>
        <w:t>«Plano» no significa nada por sí mismo: es un tipo de desarmador. Con una tabla plana de tipos, el alta de un material dejaría elegir «Cemento» de tipo «De cruz» y nada lo impediría. Colgándolo de la familia, el desplegable sólo ofrece los tipos de la familia elegida y la combinación absurda no se puede capturar. El par (familia, tipo) es único entre los vivos.</w:t>
      </w:r>
    </w:p>
    <w:p>
      <w:pPr>
        <w:pStyle w:val="Heading2"/>
      </w:pPr>
      <w:r>
        <w:t>4.2 El estatus del producto, contra catálogo</w:t>
      </w:r>
    </w:p>
    <w:p>
      <w:r>
        <w:rPr>
          <w:b w:val="0"/>
        </w:rPr>
        <w:t>Era un texto libre —cada quien escribía «Nuevo», «nuevo» o «n»— y no se puede filtrar por algo sin valores acotados. No se creó tabla nueva porque ya existía: inventory_status es un catálogo con alcance por entidad, hecho justo para esto. La columna de texto se conserva: es el histórico de lo ya capturado, y tirarlo sería perder información que nadie pidió perder.</w:t>
      </w:r>
    </w:p>
    <w:p>
      <w:pPr>
        <w:pStyle w:val="Heading2"/>
      </w:pPr>
      <w:r>
        <w:t>4.3 Las dos formas de rastrear conviven, y es deliberado</w:t>
      </w:r>
    </w:p>
    <w:p>
      <w:r>
        <w:rPr>
          <w:b w:val="0"/>
        </w:rPr>
        <w:t>Sirve tanto para herramienta de uso interno como para un distribuidor con stock de muchos productos. Lo decide una bandera que ya existía:</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r>
          </w:p>
        </w:tc>
        <w:tc>
          <w:tcPr>
            <w:tcW w:type="dxa" w:w="3120"/>
          </w:tcPr>
          <w:p>
            <w:r/>
            <w:r>
              <w:rPr>
                <w:b/>
                <w:sz w:val="19"/>
              </w:rPr>
              <w:t>Herramienta de uso interno</w:t>
            </w:r>
          </w:p>
        </w:tc>
        <w:tc>
          <w:tcPr>
            <w:tcW w:type="dxa" w:w="3120"/>
          </w:tcPr>
          <w:p>
            <w:r/>
            <w:r>
              <w:rPr>
                <w:b/>
                <w:sz w:val="19"/>
              </w:rPr>
              <w:t>Distribuidor con stock</w:t>
            </w:r>
          </w:p>
        </w:tc>
      </w:tr>
      <w:tr>
        <w:tc>
          <w:tcPr>
            <w:tcW w:type="dxa" w:w="3120"/>
          </w:tcPr>
          <w:p>
            <w:r/>
            <w:r>
              <w:rPr>
                <w:sz w:val="19"/>
              </w:rPr>
              <w:t>Modo</w:t>
            </w:r>
          </w:p>
        </w:tc>
        <w:tc>
          <w:tcPr>
            <w:tcW w:type="dxa" w:w="3120"/>
          </w:tcPr>
          <w:p>
            <w:r/>
            <w:r>
              <w:rPr>
                <w:sz w:val="19"/>
              </w:rPr>
              <w:t>serializado</w:t>
            </w:r>
          </w:p>
        </w:tc>
        <w:tc>
          <w:tcPr>
            <w:tcW w:type="dxa" w:w="3120"/>
          </w:tcPr>
          <w:p>
            <w:r/>
            <w:r>
              <w:rPr>
                <w:sz w:val="19"/>
              </w:rPr>
              <w:t>fungible</w:t>
            </w:r>
          </w:p>
        </w:tc>
      </w:tr>
      <w:tr>
        <w:tc>
          <w:tcPr>
            <w:tcW w:type="dxa" w:w="3120"/>
          </w:tcPr>
          <w:p>
            <w:r/>
            <w:r>
              <w:rPr>
                <w:sz w:val="19"/>
              </w:rPr>
              <w:t>El vale nombra</w:t>
            </w:r>
          </w:p>
        </w:tc>
        <w:tc>
          <w:tcPr>
            <w:tcW w:type="dxa" w:w="3120"/>
          </w:tcPr>
          <w:p>
            <w:r/>
            <w:r>
              <w:rPr>
                <w:sz w:val="19"/>
              </w:rPr>
              <w:t>la pieza</w:t>
            </w:r>
          </w:p>
        </w:tc>
        <w:tc>
          <w:tcPr>
            <w:tcW w:type="dxa" w:w="3120"/>
          </w:tcPr>
          <w:p>
            <w:r/>
            <w:r>
              <w:rPr>
                <w:sz w:val="19"/>
              </w:rPr>
              <w:t>la cantidad</w:t>
            </w:r>
          </w:p>
        </w:tc>
      </w:tr>
      <w:tr>
        <w:tc>
          <w:tcPr>
            <w:tcW w:type="dxa" w:w="3120"/>
          </w:tcPr>
          <w:p>
            <w:r/>
            <w:r>
              <w:rPr>
                <w:sz w:val="19"/>
              </w:rPr>
              <w:t>Por qué</w:t>
            </w:r>
          </w:p>
        </w:tc>
        <w:tc>
          <w:tcPr>
            <w:tcW w:type="dxa" w:w="3120"/>
          </w:tcPr>
          <w:p>
            <w:r/>
            <w:r>
              <w:rPr>
                <w:sz w:val="19"/>
              </w:rPr>
              <w:t>devolver «un desarmador» no cierra el préstamo del que se llevaron</w:t>
            </w:r>
          </w:p>
        </w:tc>
        <w:tc>
          <w:tcPr>
            <w:tcW w:type="dxa" w:w="3120"/>
          </w:tcPr>
          <w:p>
            <w:r/>
            <w:r>
              <w:rPr>
                <w:sz w:val="19"/>
              </w:rPr>
              <w:t>nadie etiqueta trescientos tornillos</w:t>
            </w:r>
          </w:p>
        </w:tc>
      </w:tr>
    </w:tbl>
    <w:p/>
    <w:p>
      <w:r>
        <w:rPr>
          <w:b w:val="0"/>
        </w:rPr>
        <w:t>Un mismo vale lleva renglones de los dos tipos, que es el caso normal: la obra saca dos desarmadores concretos y cincuenta metros de cable.</w:t>
      </w:r>
    </w:p>
    <w:p>
      <w:pPr>
        <w:pStyle w:val="Heading2"/>
      </w:pPr>
      <w:r>
        <w:t>4.4 El cierre es automático</w:t>
      </w:r>
    </w:p>
    <w:p>
      <w:r>
        <w:rPr>
          <w:b w:val="0"/>
        </w:rPr>
        <w:t>El estado del vale se DERIVA de sus renglones, no se captura: queda uno abierto y el vale sigue abierto; se cierra el último y el vale se cierra con la fecha del último.</w:t>
      </w:r>
    </w:p>
    <w:p>
      <w:r>
        <w:rPr>
          <w:b w:val="0"/>
        </w:rPr>
        <w:t>Es lo que evita el estado que más duele: un vale «terminado» con dos herramientas todavía fuera, o uno «abierto» con todo devuelto. Con dos personas en el almacén eso pasa el primer día.</w:t>
      </w:r>
    </w:p>
    <w:p>
      <w:pPr>
        <w:pStyle w:val="Heading1"/>
      </w:pPr>
      <w:r>
        <w:t>5. Las dos pantallas</w:t>
      </w:r>
    </w:p>
    <w:p>
      <w:r>
        <w:rPr>
          <w:b w:val="0"/>
        </w:rPr>
        <w:t>Faltaba más que la interfaz: el servicio del vale existía pero sin ruta, y el tipo de material no tenía ni servicio. Se hicieron backend y frontend.</w:t>
      </w:r>
    </w:p>
    <w:p>
      <w:pPr>
        <w:pStyle w:val="Heading2"/>
      </w:pPr>
      <w:r>
        <w:t>5.1 Tipos de material</w:t>
      </w:r>
    </w:p>
    <w:p>
      <w:r>
        <w:rPr>
          <w:b w:val="0"/>
        </w:rPr>
        <w:t>La lista va agrupada por familia, no plana. Una lista suelta de tipos —Plano, De cruz, Saco, Rollo— no se puede leer, porque cada renglón depende de una familia que no se ve.</w:t>
      </w:r>
    </w:p>
    <w:p>
      <w:r>
        <w:rPr>
          <w:b w:val="0"/>
        </w:rPr>
        <w:t>Y el alta va dentro del grupo: el botón está en la cabecera de cada familia, así que la familia no se elige en un desplegable —no se puede equivocar— porque ya la eligió el sitio donde se hizo clic.</w:t>
      </w:r>
    </w:p>
    <w:p>
      <w:pPr>
        <w:pStyle w:val="Heading2"/>
      </w:pPr>
      <w:r>
        <w:t>5.2 Vales de almacén</w:t>
      </w:r>
    </w:p>
    <w:p>
      <w:pPr>
        <w:pStyle w:val="ListParagraph"/>
        <w:spacing w:after="80"/>
        <w:ind w:left="360"/>
      </w:pPr>
      <w:r>
        <w:rPr>
          <w:b/>
        </w:rPr>
        <w:t xml:space="preserve">No hay desplegable de estado. </w:t>
      </w:r>
      <w:r>
        <w:t>El estado se deriva de los renglones. Un desplegable permitiría marcar «terminado» un vale con dos herramientas fuera.</w:t>
      </w:r>
    </w:p>
    <w:p>
      <w:pPr>
        <w:pStyle w:val="ListParagraph"/>
        <w:spacing w:after="80"/>
        <w:ind w:left="360"/>
      </w:pPr>
      <w:r>
        <w:rPr>
          <w:b/>
        </w:rPr>
        <w:t xml:space="preserve">La pieza se pide o no según el producto. </w:t>
      </w:r>
      <w:r>
        <w:t>Al elegir uno serializado la pantalla despliega sus piezas disponibles y obliga a elegir una; al elegir uno fungible pide cantidad y no ofrece piezas. Lo cambia sola en vez de dejar que el servidor rechace la captura al final.</w:t>
      </w:r>
    </w:p>
    <w:p>
      <w:pPr>
        <w:pStyle w:val="ListParagraph"/>
        <w:spacing w:after="80"/>
        <w:ind w:left="360"/>
      </w:pPr>
      <w:r>
        <w:rPr>
          <w:b/>
        </w:rPr>
        <w:t xml:space="preserve">Lo vencido va arriba. </w:t>
      </w:r>
      <w:r>
        <w:t>Es la razón de llevar vales. Y si no hay nada vencido la sección no aparece: «0 vencidos» es ruido.</w:t>
      </w:r>
    </w:p>
    <w:p>
      <w:pPr>
        <w:pStyle w:val="Heading2"/>
      </w:pPr>
      <w:r>
        <w:t>5.3 El vale va como capacidad, no como entidad</w:t>
      </w:r>
    </w:p>
    <w:p>
      <w:r>
        <w:rPr>
          <w:b w:val="0"/>
        </w:rPr>
        <w:t>Su pantalla no es el CRUD de una tabla: escribe en la incidencia y en la tabla puente de sus renglones, y el registro ya decidía —documentado— que esa segunda se edita desde su dueño. Una entrada de menú para la tabla puente habría abierto dos puertas al mismo registro, una pidiendo el padre en un desplegable.</w:t>
      </w:r>
    </w:p>
    <w:p>
      <w:r>
        <w:rPr>
          <w:b w:val="0"/>
          <w:color w:val="64748B"/>
          <w:sz w:val="19"/>
        </w:rPr>
        <w:t>Se usó el mecanismo de capacidad, el mismo de «Ajustar existencias». Resultó que la otra corriente de trabajo del día añadió una prueba que exige exactamente eso, así que las dos decisiones coincidieron sin haberlo hablado.</w:t>
      </w:r>
    </w:p>
    <w:p>
      <w:pPr>
        <w:pStyle w:val="Heading1"/>
      </w:pPr>
      <w:r>
        <w:t>6. Hallazgo de método: las pruebas no corren donde corre el sistema</w:t>
      </w:r>
    </w:p>
    <w:p>
      <w:r>
        <w:rPr>
          <w:b/>
          <w:color w:val="991B1B"/>
        </w:rPr>
        <w:t>La suite de backend corre sobre SQLite en memoria; el sistema corre sobre PostgreSQL. En SQLite las llaves ajenas no se aplican, así que las pruebas verdes no garantizan integridad referencial.</w:t>
      </w:r>
    </w:p>
    <w:p>
      <w:r>
        <w:rPr>
          <w:b w:val="0"/>
        </w:rPr>
        <w:t>Medido apuntando la suite a un PostgreSQL de pruebas: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Archivos</w:t>
            </w:r>
          </w:p>
        </w:tc>
        <w:tc>
          <w:tcPr>
            <w:tcW w:type="dxa" w:w="3120"/>
          </w:tcPr>
          <w:p>
            <w:r/>
            <w:r>
              <w:rPr>
                <w:b/>
                <w:sz w:val="19"/>
              </w:rPr>
              <w:t>Antes</w:t>
            </w:r>
          </w:p>
        </w:tc>
        <w:tc>
          <w:tcPr>
            <w:tcW w:type="dxa" w:w="3120"/>
          </w:tcPr>
          <w:p>
            <w:r/>
            <w:r>
              <w:rPr>
                <w:b/>
                <w:sz w:val="19"/>
              </w:rPr>
              <w:t>Con la semilla mínima</w:t>
            </w:r>
          </w:p>
        </w:tc>
      </w:tr>
      <w:tr>
        <w:tc>
          <w:tcPr>
            <w:tcW w:type="dxa" w:w="3120"/>
          </w:tcPr>
          <w:p>
            <w:r/>
            <w:r>
              <w:rPr>
                <w:sz w:val="19"/>
              </w:rPr>
              <w:t>test_inventory_trace + test_inventory_asset + test_service_permission</w:t>
            </w:r>
          </w:p>
        </w:tc>
        <w:tc>
          <w:tcPr>
            <w:tcW w:type="dxa" w:w="3120"/>
          </w:tcPr>
          <w:p>
            <w:r/>
            <w:r>
              <w:rPr>
                <w:sz w:val="19"/>
              </w:rPr>
              <w:t>5 de 69</w:t>
            </w:r>
          </w:p>
        </w:tc>
        <w:tc>
          <w:tcPr>
            <w:tcW w:type="dxa" w:w="3120"/>
          </w:tcPr>
          <w:p>
            <w:r/>
            <w:r>
              <w:rPr>
                <w:sz w:val="19"/>
              </w:rPr>
              <w:t>68 de 69</w:t>
            </w:r>
          </w:p>
        </w:tc>
      </w:tr>
      <w:tr>
        <w:tc>
          <w:tcPr>
            <w:tcW w:type="dxa" w:w="3120"/>
          </w:tcPr>
          <w:p>
            <w:r/>
            <w:r>
              <w:rPr>
                <w:sz w:val="19"/>
              </w:rPr>
              <w:t>test_service_permission + test_inventory_trace</w:t>
            </w:r>
          </w:p>
        </w:tc>
        <w:tc>
          <w:tcPr>
            <w:tcW w:type="dxa" w:w="3120"/>
          </w:tcPr>
          <w:p>
            <w:r/>
            <w:r>
              <w:rPr>
                <w:sz w:val="19"/>
              </w:rPr>
              <w:t>5 de 37</w:t>
            </w:r>
          </w:p>
        </w:tc>
        <w:tc>
          <w:tcPr>
            <w:tcW w:type="dxa" w:w="3120"/>
          </w:tcPr>
          <w:p>
            <w:r/>
            <w:r>
              <w:rPr>
                <w:sz w:val="19"/>
              </w:rPr>
              <w:t>38 de 38</w:t>
            </w:r>
          </w:p>
        </w:tc>
      </w:tr>
    </w:tbl>
    <w:p/>
    <w:p>
      <w:r>
        <w:rPr>
          <w:b w:val="0"/>
        </w:rPr>
        <w:t>La causa era una sola y se arregla en un sitio: falta la cadena que las llaves exigen —departamento, subdepartamento, nivel, perfil, estatus, cliente, proyecto y usuario— sembrada con todos los identificadores en 1, aprovechando que esas llaves ya están declaradas DEFERRABLE. Además hay que cambiar el reinicio entre pruebas de recrear el esquema a truncar —recrear 114 tablas cuesta unos diez segundos por prueba— y dejar las secuencias por encima de la semilla.</w:t>
      </w:r>
    </w:p>
    <w:p>
      <w:r>
        <w:rPr>
          <w:b w:val="0"/>
        </w:rPr>
        <w:t>El trabajo exploratorio se revirtió y el conftest quedó como estaba: la migración la hará otra persona del equipo. Los números y el camino están aquí para quien la tome.</w:t>
      </w:r>
    </w:p>
    <w:p>
      <w:pPr>
        <w:pStyle w:val="Heading1"/>
      </w:pPr>
      <w:r>
        <w:t>7. Defectos ajenos encontrados de paso</w:t>
      </w:r>
    </w:p>
    <w:p>
      <w:pPr>
        <w:pStyle w:val="ListParagraph"/>
        <w:spacing w:after="80"/>
        <w:ind w:left="360"/>
      </w:pPr>
      <w:r>
        <w:rPr>
          <w:b/>
        </w:rPr>
        <w:t xml:space="preserve">El estado de inventario no se puede crear en esta base. </w:t>
      </w:r>
      <w:r>
        <w:t>`inventory_status.id_department` es NOT NULL con DEFAULT 4, y en la base sólo existe el departamento 1: cualquier INSERT falla contra la llave ajena. La migración del día resuelve departamento y nivel de lo que exista en vez de escribirlos, pero el default sigue apuntando a un departamento que no existe y vale arreglarlo.</w:t>
      </w:r>
    </w:p>
    <w:p>
      <w:pPr>
        <w:pStyle w:val="ListParagraph"/>
        <w:spacing w:after="80"/>
        <w:ind w:left="360"/>
      </w:pPr>
      <w:r>
        <w:rPr>
          <w:b/>
        </w:rPr>
        <w:t xml:space="preserve">Colisión de timestamp entre migraciones. </w:t>
      </w:r>
      <w:r>
        <w:t>Otra corriente de trabajo creó una migración con el mismo prefijo de fecha y hora que la mía. Se renumeró la propia para que el orden sea inequívoco.</w:t>
      </w:r>
    </w:p>
    <w:p>
      <w:pPr>
        <w:pStyle w:val="Heading1"/>
      </w:pPr>
      <w:r>
        <w:t>8. La integración con initAlan</w:t>
      </w:r>
    </w:p>
    <w:p>
      <w:r>
        <w:rPr>
          <w:b w:val="0"/>
        </w:rPr>
        <w:t>Se trajeron sus 12 commits: multiemisor con CSD por RFC, los módulos documentos y laboratorio, la etiqueta que identifica de qué cliente es cada instancia, y la unificación de Configuración dentro del engrane.</w:t>
      </w:r>
    </w:p>
    <w:p>
      <w:r>
        <w:rPr>
          <w:b w:val="0"/>
        </w:rPr>
        <w:t>Un solo conflicto: la migración de documentos y laboratorio. Alan la renombró a un timestamp anterior —a propósito, para que las filas de campo existan antes de que la matriz derive los permisos de campo— y le quitó el bloque que sembraba permisos.</w:t>
      </w:r>
    </w:p>
    <w:p>
      <w:r>
        <w:rPr>
          <w:b w:val="0"/>
        </w:rPr>
        <w:t>Se tomó su versión, pero verificándolo antes de aceptarlo: su registro declara los dos módulos con sus entidades y su matriz siembra las filas, así que ese bloque ya no tiene razón de estar ahí. Con él se va un comentario propio sobre la regla de que el gestor manda, pero la regla no se pierde: sigue viva en la matriz que gobierna y en las pruebas que la fijan leyendo todas las migraciones.</w:t>
      </w:r>
    </w:p>
    <w:p>
      <w:pPr>
        <w:pStyle w:val="Heading2"/>
      </w:pPr>
      <w:r>
        <w:t>8.1 Separar trabajo ajeno del árbol</w:t>
      </w:r>
    </w:p>
    <w:p>
      <w:r>
        <w:rPr>
          <w:b w:val="0"/>
        </w:rPr>
        <w:t>El árbol tenía, sin commitear, una tercera corriente de trabajo sobre operaciones mezclada con la propia en seis archivos compartidos. No es de Alan: se verificó que sus archivos no existen en su rama.</w:t>
      </w:r>
    </w:p>
    <w:p>
      <w:r>
        <w:rPr>
          <w:b w:val="0"/>
        </w:rPr>
        <w:t>Elegir trozos a mano no se puede automatizar sin riesgo de quedarse con la mitad de un cambio ajeno, así que se hizo al contrario: se partió de la versión ya publicada y se le reaplicaron los cambios propios, que se conocían con exactitud. Por construcción el resultado contiene lo propio y nada más, y se verificó contando líneas ajenas en el índice: cero.</w:t>
      </w:r>
    </w:p>
    <w:p>
      <w:r>
        <w:rPr>
          <w:b w:val="0"/>
        </w:rPr>
        <w:t>El trabajo de la tercera corriente quedó intacto en el árbol, sin commitear, y los dos stashes previos que ya había no se tocaron.</w:t>
      </w:r>
    </w:p>
    <w:p>
      <w:pPr>
        <w:pStyle w:val="Heading1"/>
      </w:pPr>
      <w:r>
        <w:t>9. Estado al cierre</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Indicador</w:t>
            </w:r>
          </w:p>
        </w:tc>
        <w:tc>
          <w:tcPr>
            <w:tcW w:type="dxa" w:w="4680"/>
          </w:tcPr>
          <w:p>
            <w:r/>
            <w:r>
              <w:rPr>
                <w:b/>
                <w:sz w:val="19"/>
              </w:rPr>
              <w:t>Valor</w:t>
            </w:r>
          </w:p>
        </w:tc>
      </w:tr>
      <w:tr>
        <w:tc>
          <w:tcPr>
            <w:tcW w:type="dxa" w:w="4680"/>
          </w:tcPr>
          <w:p>
            <w:r/>
            <w:r>
              <w:rPr>
                <w:sz w:val="19"/>
              </w:rPr>
              <w:t>Pruebas de backend</w:t>
            </w:r>
          </w:p>
        </w:tc>
        <w:tc>
          <w:tcPr>
            <w:tcW w:type="dxa" w:w="4680"/>
          </w:tcPr>
          <w:p>
            <w:r/>
            <w:r>
              <w:rPr>
                <w:sz w:val="19"/>
              </w:rPr>
              <w:t>1 074 pasan · 12 se omiten · 1 562 subpruebas</w:t>
            </w:r>
          </w:p>
        </w:tc>
      </w:tr>
      <w:tr>
        <w:tc>
          <w:tcPr>
            <w:tcW w:type="dxa" w:w="4680"/>
          </w:tcPr>
          <w:p>
            <w:r/>
            <w:r>
              <w:rPr>
                <w:sz w:val="19"/>
              </w:rPr>
              <w:t>Migraciones</w:t>
            </w:r>
          </w:p>
        </w:tc>
        <w:tc>
          <w:tcPr>
            <w:tcW w:type="dxa" w:w="4680"/>
          </w:tcPr>
          <w:p>
            <w:r/>
            <w:r>
              <w:rPr>
                <w:sz w:val="19"/>
              </w:rPr>
              <w:t>67 en la rama, reaplicables sin fallar</w:t>
            </w:r>
          </w:p>
        </w:tc>
      </w:tr>
      <w:tr>
        <w:tc>
          <w:tcPr>
            <w:tcW w:type="dxa" w:w="4680"/>
          </w:tcPr>
          <w:p>
            <w:r/>
            <w:r>
              <w:rPr>
                <w:sz w:val="19"/>
              </w:rPr>
              <w:t>Commits propios del día</w:t>
            </w:r>
          </w:p>
        </w:tc>
        <w:tc>
          <w:tcPr>
            <w:tcW w:type="dxa" w:w="4680"/>
          </w:tcPr>
          <w:p>
            <w:r/>
            <w:r>
              <w:rPr>
                <w:sz w:val="19"/>
              </w:rPr>
              <w:t>6 + el merge de initAlan (09b3e62 → 520a469)</w:t>
            </w:r>
          </w:p>
        </w:tc>
      </w:tr>
      <w:tr>
        <w:tc>
          <w:tcPr>
            <w:tcW w:type="dxa" w:w="4680"/>
          </w:tcPr>
          <w:p>
            <w:r/>
            <w:r>
              <w:rPr>
                <w:sz w:val="19"/>
              </w:rPr>
              <w:t>Catálogo del SAT</w:t>
            </w:r>
          </w:p>
        </w:tc>
        <w:tc>
          <w:tcPr>
            <w:tcW w:type="dxa" w:w="4680"/>
          </w:tcPr>
          <w:p>
            <w:r/>
            <w:r>
              <w:rPr>
                <w:sz w:val="19"/>
              </w:rPr>
              <w:t>52 514 claves cargadas y validando</w:t>
            </w:r>
          </w:p>
        </w:tc>
      </w:tr>
      <w:tr>
        <w:tc>
          <w:tcPr>
            <w:tcW w:type="dxa" w:w="4680"/>
          </w:tcPr>
          <w:p>
            <w:r/>
            <w:r>
              <w:rPr>
                <w:sz w:val="19"/>
              </w:rPr>
              <w:t>Pantallas nuevas</w:t>
            </w:r>
          </w:p>
        </w:tc>
        <w:tc>
          <w:tcPr>
            <w:tcW w:type="dxa" w:w="4680"/>
          </w:tcPr>
          <w:p>
            <w:r/>
            <w:r>
              <w:rPr>
                <w:sz w:val="19"/>
              </w:rPr>
              <w:t>Tipos de material · Vales de almacén</w:t>
            </w:r>
          </w:p>
        </w:tc>
      </w:tr>
    </w:tbl>
    <w:p/>
    <w:p>
      <w:r>
        <w:rPr>
          <w:b/>
        </w:rPr>
        <w:t>Pruebas nuevas de la jornada:</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9"/>
              </w:rPr>
              <w:t>Archivo</w:t>
            </w:r>
          </w:p>
        </w:tc>
        <w:tc>
          <w:tcPr>
            <w:tcW w:type="dxa" w:w="3120"/>
          </w:tcPr>
          <w:p>
            <w:r/>
            <w:r>
              <w:rPr>
                <w:b/>
                <w:sz w:val="19"/>
              </w:rPr>
              <w:t>Qué fija</w:t>
            </w:r>
          </w:p>
        </w:tc>
        <w:tc>
          <w:tcPr>
            <w:tcW w:type="dxa" w:w="3120"/>
          </w:tcPr>
          <w:p>
            <w:r/>
            <w:r>
              <w:rPr>
                <w:b/>
                <w:sz w:val="19"/>
              </w:rPr>
              <w:t>Nº</w:t>
            </w:r>
          </w:p>
        </w:tc>
      </w:tr>
      <w:tr>
        <w:tc>
          <w:tcPr>
            <w:tcW w:type="dxa" w:w="3120"/>
          </w:tcPr>
          <w:p>
            <w:r/>
            <w:r>
              <w:rPr>
                <w:sz w:val="19"/>
              </w:rPr>
              <w:t>test_idempotencia_de_verdad.py</w:t>
            </w:r>
          </w:p>
        </w:tc>
        <w:tc>
          <w:tcPr>
            <w:tcW w:type="dxa" w:w="3120"/>
          </w:tcPr>
          <w:p>
            <w:r/>
            <w:r>
              <w:rPr>
                <w:sz w:val="19"/>
              </w:rPr>
              <w:t>que repetir una llave con otros datos sea un conflicto</w:t>
            </w:r>
          </w:p>
        </w:tc>
        <w:tc>
          <w:tcPr>
            <w:tcW w:type="dxa" w:w="3120"/>
          </w:tcPr>
          <w:p>
            <w:r/>
            <w:r>
              <w:rPr>
                <w:sz w:val="19"/>
              </w:rPr>
              <w:t>14</w:t>
            </w:r>
          </w:p>
        </w:tc>
      </w:tr>
      <w:tr>
        <w:tc>
          <w:tcPr>
            <w:tcW w:type="dxa" w:w="3120"/>
          </w:tcPr>
          <w:p>
            <w:r/>
            <w:r>
              <w:rPr>
                <w:sz w:val="19"/>
              </w:rPr>
              <w:t>test_facturacion_produccion.py</w:t>
            </w:r>
          </w:p>
        </w:tc>
        <w:tc>
          <w:tcPr>
            <w:tcW w:type="dxa" w:w="3120"/>
          </w:tcPr>
          <w:p>
            <w:r/>
            <w:r>
              <w:rPr>
                <w:sz w:val="19"/>
              </w:rPr>
              <w:t>el tipo de cambio y la cancelación de abonos</w:t>
            </w:r>
          </w:p>
        </w:tc>
        <w:tc>
          <w:tcPr>
            <w:tcW w:type="dxa" w:w="3120"/>
          </w:tcPr>
          <w:p>
            <w:r/>
            <w:r>
              <w:rPr>
                <w:sz w:val="19"/>
              </w:rPr>
              <w:t>9</w:t>
            </w:r>
          </w:p>
        </w:tc>
      </w:tr>
      <w:tr>
        <w:tc>
          <w:tcPr>
            <w:tcW w:type="dxa" w:w="3120"/>
          </w:tcPr>
          <w:p>
            <w:r/>
            <w:r>
              <w:rPr>
                <w:sz w:val="19"/>
              </w:rPr>
              <w:t>test_claves_sat_contra_catalogo.py</w:t>
            </w:r>
          </w:p>
        </w:tc>
        <w:tc>
          <w:tcPr>
            <w:tcW w:type="dxa" w:w="3120"/>
          </w:tcPr>
          <w:p>
            <w:r/>
            <w:r>
              <w:rPr>
                <w:sz w:val="19"/>
              </w:rPr>
              <w:t>la validación contra el catálogo y su salvaguarda</w:t>
            </w:r>
          </w:p>
        </w:tc>
        <w:tc>
          <w:tcPr>
            <w:tcW w:type="dxa" w:w="3120"/>
          </w:tcPr>
          <w:p>
            <w:r/>
            <w:r>
              <w:rPr>
                <w:sz w:val="19"/>
              </w:rPr>
              <w:t>14</w:t>
            </w:r>
          </w:p>
        </w:tc>
      </w:tr>
      <w:tr>
        <w:tc>
          <w:tcPr>
            <w:tcW w:type="dxa" w:w="3120"/>
          </w:tcPr>
          <w:p>
            <w:r/>
            <w:r>
              <w:rPr>
                <w:sz w:val="19"/>
              </w:rPr>
              <w:t>test_vale_de_almacen.py</w:t>
            </w:r>
          </w:p>
        </w:tc>
        <w:tc>
          <w:tcPr>
            <w:tcW w:type="dxa" w:w="3120"/>
          </w:tcPr>
          <w:p>
            <w:r/>
            <w:r>
              <w:rPr>
                <w:sz w:val="19"/>
              </w:rPr>
              <w:t>el tipo, las dos formas de rastrear y el cierre automático</w:t>
            </w:r>
          </w:p>
        </w:tc>
        <w:tc>
          <w:tcPr>
            <w:tcW w:type="dxa" w:w="3120"/>
          </w:tcPr>
          <w:p>
            <w:r/>
            <w:r>
              <w:rPr>
                <w:sz w:val="19"/>
              </w:rPr>
              <w:t>24</w:t>
            </w:r>
          </w:p>
        </w:tc>
      </w:tr>
    </w:tbl>
    <w:p/>
    <w:p>
      <w:r>
        <w:rPr>
          <w:b w:val="0"/>
          <w:color w:val="64748B"/>
          <w:sz w:val="19"/>
        </w:rPr>
        <w:t>Las cuatro se verificaron rompiendo el arreglo y comprobando que fallan, no sólo viéndolas pasar. Y los tres arreglos de la sección 2 se comprobaron además contra PostgreSQL, sobre datos reales, no sólo contra SQLite.</w:t>
      </w:r>
    </w:p>
    <w:p>
      <w:pPr>
        <w:pStyle w:val="Heading2"/>
      </w:pPr>
      <w:r>
        <w:t>9.1 Lo que queda pendiente</w:t>
      </w:r>
    </w:p>
    <w:p>
      <w:pPr>
        <w:pStyle w:val="ListParagraph"/>
        <w:spacing w:after="80"/>
        <w:ind w:left="360"/>
      </w:pPr>
      <w:r>
        <w:rPr>
          <w:b/>
        </w:rPr>
        <w:t xml:space="preserve">Ninguna pantalla se ha visto renderizada. </w:t>
      </w:r>
      <w:r>
        <w:t>Requiere sesión y no se manipularon credenciales. Falta abrir Inventario → Tipos de material y Vales de almacén y confirmarlas en el monitor de trabajo.</w:t>
      </w:r>
    </w:p>
    <w:p>
      <w:pPr>
        <w:pStyle w:val="ListParagraph"/>
        <w:spacing w:after="80"/>
        <w:ind w:left="360"/>
      </w:pPr>
      <w:r>
        <w:rPr>
          <w:b/>
        </w:rPr>
        <w:t xml:space="preserve">El vale no mueve la existencia. </w:t>
      </w:r>
      <w:r>
        <w:t>Hoy el vale es el documento y el movimiento se registra aparte. Falta el enlace para que la salida descuente al abrirse el vale.</w:t>
      </w:r>
    </w:p>
    <w:p>
      <w:pPr>
        <w:pStyle w:val="ListParagraph"/>
        <w:spacing w:after="80"/>
        <w:ind w:left="360"/>
      </w:pPr>
      <w:r>
        <w:rPr>
          <w:b/>
        </w:rPr>
        <w:t xml:space="preserve">El catálogo de unidades del SAT. </w:t>
      </w:r>
      <w:r>
        <w:t>Falta el CSV oficial de c_ClaveUnidad para que su validación deje de ser un aviso y pase a rechazar, como la de productos.</w:t>
      </w:r>
    </w:p>
    <w:p>
      <w:pPr>
        <w:pStyle w:val="ListParagraph"/>
        <w:spacing w:after="80"/>
        <w:ind w:left="360"/>
      </w:pPr>
      <w:r>
        <w:rPr>
          <w:b/>
        </w:rPr>
        <w:t xml:space="preserve">El paso al PostgreSQL en las pruebas. </w:t>
      </w:r>
      <w:r>
        <w:t>Sección 6. Asignado a otra persona del equipo.</w:t>
      </w:r>
    </w:p>
    <w:p>
      <w:pPr>
        <w:pStyle w:val="ListParagraph"/>
        <w:spacing w:after="80"/>
        <w:ind w:left="360"/>
      </w:pPr>
      <w:r>
        <w:rPr>
          <w:b/>
        </w:rPr>
        <w:t xml:space="preserve">El desfase de identificadores de rol. </w:t>
      </w:r>
      <w:r>
        <w:t>Sigue esperando decisión desde el día 3.</w:t>
      </w:r>
    </w:p>
    <w:p/>
    <w:p>
      <w:pPr>
        <w:jc w:val="center"/>
      </w:pPr>
      <w:r>
        <w:rPr>
          <w:b w:val="0"/>
          <w:color w:val="64748B"/>
          <w:sz w:val="18"/>
        </w:rPr>
        <w:t>Documento generado el 4 de septiembre de 2026 · TYAKXA ERP/CRM/SCM · rama initAngm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7A6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7A6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