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7A60"/>
          <w:sz w:val="32"/>
        </w:rPr>
        <w:t>TYAKXA · ERP / CRM / SCM</w:t>
      </w:r>
    </w:p>
    <w:p>
      <w:pPr>
        <w:jc w:val="center"/>
      </w:pPr>
      <w:r>
        <w:rPr>
          <w:b/>
          <w:sz w:val="44"/>
        </w:rPr>
        <w:t>Bitácora del día</w:t>
      </w:r>
    </w:p>
    <w:p>
      <w:pPr>
        <w:jc w:val="center"/>
      </w:pPr>
      <w:r>
        <w:rPr>
          <w:b w:val="0"/>
          <w:color w:val="64748B"/>
          <w:sz w:val="22"/>
        </w:rPr>
        <w:t>El almacén, del papel a la operación: llaves que faltaban, el vale que ya descuenta, características por familia y lotes con caducidad</w:t>
      </w:r>
    </w:p>
    <w:p>
      <w:pPr>
        <w:jc w:val="center"/>
      </w:pPr>
      <w:r>
        <w:rPr>
          <w:b/>
        </w:rPr>
        <w:t>7 de septiembre de 2026</w:t>
      </w:r>
    </w:p>
    <w:p>
      <w:pPr>
        <w:jc w:val="center"/>
      </w:pPr>
      <w:r>
        <w:rPr>
          <w:b w:val="0"/>
          <w:color w:val="64748B"/>
          <w:sz w:val="19"/>
        </w:rPr>
        <w:t>Repositorio: tyakxa_tny · rama initAngm · sin commitear al cierre, a petición</w:t>
      </w:r>
    </w:p>
    <w:p>
      <w:pPr>
        <w:pStyle w:val="Heading1"/>
      </w:pPr>
      <w:r>
        <w:t>1. Resumen ejecutivo</w:t>
      </w:r>
    </w:p>
    <w:p>
      <w:r>
        <w:rPr>
          <w:b w:val="0"/>
        </w:rPr>
        <w:t>La jornada la abrió una pregunta del responsable del proyecto: «¿estás respetando la estructura de la base? no quiero que haya registros flotando por otros lados». Se auditó contra PostgreSQL en lugar de contestar de memoria, y la auditoría encontró un agujero real en trabajo propio: el responsable de una pieza prestada no tenía llave foránea.</w:t>
      </w:r>
    </w:p>
    <w:p>
      <w:r>
        <w:rPr>
          <w:b w:val="0"/>
        </w:rPr>
        <w:t>Después vino un reporte del propio usuario —«hay dos módulos que hacen lo mismo»— que resultó medio acertado: en los datos no lo eran, pero en el menú sí se leían como dos módulos iguales. Se fusionó la pantalla sin fundir las tablas.</w:t>
      </w:r>
    </w:p>
    <w:p>
      <w:r>
        <w:rPr>
          <w:b w:val="0"/>
        </w:rPr>
        <w:t>La parte gruesa del día fue el modelo del almacén tal como el usuario lo describió. De los cuatro huecos que se midieron en el vale, el más grave era que un vale no movía nada: la pieza seguía diciendo «disponible» mientras estaba en la camioneta de alguien. Y luego dos piezas nuevas: las características por familia y los lotes con caducidad.</w:t>
      </w:r>
    </w:p>
    <w:p>
      <w:r>
        <w:rPr>
          <w:b w:val="0"/>
        </w:rPr>
        <w:t>Los lotes dejaron el hallazgo del día. Probando contra PostgreSQL —no contra las pruebas— se encendió el control por lote en un producto que ya tenía existencia y el cuadre salió en falso. Esa existencia quedaba fuera de todo lote y no se podía despachar.</w:t>
      </w:r>
    </w:p>
    <w:p>
      <w:r>
        <w:rPr>
          <w:b w:val="0"/>
        </w:rPr>
        <w:t>Al cierre: 1 183 pruebas en verde, 5 migraciones nuevas aplicadas, 14 tablas en el dominio del almacén y unas 3 979 líneas nuevas entre servicios, modelos, rutas, pruebas y pantallas.</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
              <w:rPr>
                <w:b/>
                <w:sz w:val="19"/>
              </w:rPr>
              <w:t>Indicador</w:t>
            </w:r>
          </w:p>
        </w:tc>
        <w:tc>
          <w:tcPr>
            <w:tcW w:type="dxa" w:w="3120"/>
          </w:tcPr>
          <w:p>
            <w:r/>
            <w:r>
              <w:rPr>
                <w:b/>
                <w:sz w:val="19"/>
              </w:rPr>
              <w:t>Al abrir</w:t>
            </w:r>
          </w:p>
        </w:tc>
        <w:tc>
          <w:tcPr>
            <w:tcW w:type="dxa" w:w="3120"/>
          </w:tcPr>
          <w:p>
            <w:r/>
            <w:r>
              <w:rPr>
                <w:b/>
                <w:sz w:val="19"/>
              </w:rPr>
              <w:t>Al cerrar</w:t>
            </w:r>
          </w:p>
        </w:tc>
      </w:tr>
      <w:tr>
        <w:tc>
          <w:tcPr>
            <w:tcW w:type="dxa" w:w="3120"/>
          </w:tcPr>
          <w:p>
            <w:r/>
            <w:r>
              <w:rPr>
                <w:sz w:val="19"/>
              </w:rPr>
              <w:t>Pruebas en verde</w:t>
            </w:r>
          </w:p>
        </w:tc>
        <w:tc>
          <w:tcPr>
            <w:tcW w:type="dxa" w:w="3120"/>
          </w:tcPr>
          <w:p>
            <w:r/>
            <w:r>
              <w:rPr>
                <w:sz w:val="19"/>
              </w:rPr>
              <w:t>1 102</w:t>
            </w:r>
          </w:p>
        </w:tc>
        <w:tc>
          <w:tcPr>
            <w:tcW w:type="dxa" w:w="3120"/>
          </w:tcPr>
          <w:p>
            <w:r/>
            <w:r>
              <w:rPr>
                <w:sz w:val="19"/>
              </w:rPr>
              <w:t>1 183</w:t>
            </w:r>
          </w:p>
        </w:tc>
      </w:tr>
      <w:tr>
        <w:tc>
          <w:tcPr>
            <w:tcW w:type="dxa" w:w="3120"/>
          </w:tcPr>
          <w:p>
            <w:r/>
            <w:r>
              <w:rPr>
                <w:sz w:val="19"/>
              </w:rPr>
              <w:t>Migraciones reaplicables</w:t>
            </w:r>
          </w:p>
        </w:tc>
        <w:tc>
          <w:tcPr>
            <w:tcW w:type="dxa" w:w="3120"/>
          </w:tcPr>
          <w:p>
            <w:r/>
            <w:r>
              <w:rPr>
                <w:sz w:val="19"/>
              </w:rPr>
              <w:t>68</w:t>
            </w:r>
          </w:p>
        </w:tc>
        <w:tc>
          <w:tcPr>
            <w:tcW w:type="dxa" w:w="3120"/>
          </w:tcPr>
          <w:p>
            <w:r/>
            <w:r>
              <w:rPr>
                <w:sz w:val="19"/>
              </w:rPr>
              <w:t>73</w:t>
            </w:r>
          </w:p>
        </w:tc>
      </w:tr>
      <w:tr>
        <w:tc>
          <w:tcPr>
            <w:tcW w:type="dxa" w:w="3120"/>
          </w:tcPr>
          <w:p>
            <w:r/>
            <w:r>
              <w:rPr>
                <w:sz w:val="19"/>
              </w:rPr>
              <w:t>Entradas de menú en Inventario</w:t>
            </w:r>
          </w:p>
        </w:tc>
        <w:tc>
          <w:tcPr>
            <w:tcW w:type="dxa" w:w="3120"/>
          </w:tcPr>
          <w:p>
            <w:r/>
            <w:r>
              <w:rPr>
                <w:sz w:val="19"/>
              </w:rPr>
              <w:t>14</w:t>
            </w:r>
          </w:p>
        </w:tc>
        <w:tc>
          <w:tcPr>
            <w:tcW w:type="dxa" w:w="3120"/>
          </w:tcPr>
          <w:p>
            <w:r/>
            <w:r>
              <w:rPr>
                <w:sz w:val="19"/>
              </w:rPr>
              <w:t>13</w:t>
            </w:r>
          </w:p>
        </w:tc>
      </w:tr>
      <w:tr>
        <w:tc>
          <w:tcPr>
            <w:tcW w:type="dxa" w:w="3120"/>
          </w:tcPr>
          <w:p>
            <w:r/>
            <w:r>
              <w:rPr>
                <w:sz w:val="19"/>
              </w:rPr>
              <w:t>Llaves foráneas faltantes en el almacén</w:t>
            </w:r>
          </w:p>
        </w:tc>
        <w:tc>
          <w:tcPr>
            <w:tcW w:type="dxa" w:w="3120"/>
          </w:tcPr>
          <w:p>
            <w:r/>
            <w:r>
              <w:rPr>
                <w:sz w:val="19"/>
              </w:rPr>
              <w:t>3</w:t>
            </w:r>
          </w:p>
        </w:tc>
        <w:tc>
          <w:tcPr>
            <w:tcW w:type="dxa" w:w="3120"/>
          </w:tcPr>
          <w:p>
            <w:r/>
            <w:r>
              <w:rPr>
                <w:sz w:val="19"/>
              </w:rPr>
              <w:t>0</w:t>
            </w:r>
          </w:p>
        </w:tc>
      </w:tr>
    </w:tbl>
    <w:p/>
    <w:p>
      <w:pPr>
        <w:pStyle w:val="Heading1"/>
      </w:pPr>
      <w:r>
        <w:t>2. La auditoría de estructura</w:t>
      </w:r>
    </w:p>
    <w:p>
      <w:r>
        <w:rPr>
          <w:b w:val="0"/>
        </w:rPr>
        <w:t>La pregunta era si el trabajo propio respetaba el modelo o si estaba dejando datos sueltos. Se contestó con consultas al catálogo de PostgreSQL, no con una afirmación.</w:t>
      </w:r>
    </w:p>
    <w:p>
      <w:pPr>
        <w:pStyle w:val="Heading2"/>
      </w:pPr>
      <w:r>
        <w:t>2.1 Lo que se construyó, y dónde vive</w:t>
      </w:r>
    </w:p>
    <w:p>
      <w:r>
        <w:rPr>
          <w:b w:val="0"/>
        </w:rPr>
        <w:t>Nada nuevo se inventó donde ya había dónde ponerlo:</w:t>
      </w:r>
    </w:p>
    <w:p>
      <w:pPr>
        <w:pStyle w:val="ListParagraph"/>
        <w:spacing w:after="80"/>
        <w:ind w:left="360"/>
      </w:pPr>
      <w:r>
        <w:rPr>
          <w:b/>
        </w:rPr>
        <w:t xml:space="preserve">El vale no es una tabla nueva. </w:t>
      </w:r>
      <w:r>
        <w:t>Es `incident` más `nm_incident_product`, a la que se le agregaron seis columnas —pieza, origen, destino, dirección, inicio, vencimiento—, todas con llave foránea.</w:t>
      </w:r>
    </w:p>
    <w:p>
      <w:pPr>
        <w:pStyle w:val="ListParagraph"/>
        <w:spacing w:after="80"/>
        <w:ind w:left="360"/>
      </w:pPr>
      <w:r>
        <w:rPr>
          <w:b/>
        </w:rPr>
        <w:t xml:space="preserve">El estatus del producto </w:t>
      </w:r>
      <w:r>
        <w:t>apunta al catálogo que ya existía, `inventory_status` con `entity_scope = 'product'`. No hay una segunda tabla de estados.</w:t>
      </w:r>
    </w:p>
    <w:p>
      <w:pPr>
        <w:pStyle w:val="ListParagraph"/>
        <w:spacing w:after="80"/>
        <w:ind w:left="360"/>
      </w:pPr>
      <w:r>
        <w:rPr>
          <w:b/>
        </w:rPr>
        <w:t xml:space="preserve">Los movimientos </w:t>
      </w:r>
      <w:r>
        <w:t>siguen yendo a `inventory_ledger`, los saldos a `inventory_stock`, las piezas a `inventory_asset`.</w:t>
      </w:r>
    </w:p>
    <w:p>
      <w:pPr>
        <w:pStyle w:val="Heading2"/>
      </w:pPr>
      <w:r>
        <w:t>2.2 El agujero, y era propio</w:t>
      </w:r>
    </w:p>
    <w:p>
      <w:r>
        <w:rPr>
          <w:b w:val="0"/>
          <w:color w:val="991B1B"/>
        </w:rPr>
        <w:t>`inventory_asset.id_holder` —quién se llevó la herramienta— no tenía llave foránea, y el servicio sólo comprobaba que el valor fuera un entero. Un préstamo a un identificador inventado se guardaba tal cual.</w:t>
      </w:r>
    </w:p>
    <w:p>
      <w:r>
        <w:rPr>
          <w:b w:val="0"/>
        </w:rPr>
        <w:t>La consecuencia no es cosmética: la pieza queda PRESTADA a nadie. No aparece en lo que debe ningún usuario, no se le puede reclamar, y el único modo de notarla es ver que falta. Lo mismo en `id_holder_before` e `id_holder_after`, que son el rastro de en manos de quién estuvo.</w:t>
      </w:r>
    </w:p>
    <w:p>
      <w:r>
        <w:rPr>
          <w:b w:val="0"/>
        </w:rPr>
        <w:t>Medido antes de tocar nada: 8 de 25 piezas con responsable, ninguna huérfana todavía. El agujero no había cobrado, pero estaba abierto.</w:t>
      </w:r>
    </w:p>
    <w:p>
      <w:r>
        <w:rPr>
          <w:b w:val="0"/>
        </w:rPr>
        <w:t>Se cerró con tres llaves foráneas diferibles y con la comprobación en el servicio, porque una llave diferida revienta en el COMMIT con un IntegrityError que le llega al usuario como un 500. Ahora es el 404 que le corresponde, diciendo qué campo. La base ya lo rechaza:</w:t>
      </w:r>
    </w:p>
    <w:p>
      <w:pPr>
        <w:spacing w:after="0"/>
        <w:ind w:left="360"/>
      </w:pPr>
      <w:r>
        <w:rPr>
          <w:rFonts w:ascii="Consolas" w:hAnsi="Consolas"/>
          <w:color w:val="64748B"/>
          <w:sz w:val="18"/>
        </w:rPr>
        <w:t>ERROR:  violates foreign key constraint "fk_inventory_asset_holder"</w:t>
      </w:r>
    </w:p>
    <w:p>
      <w:pPr>
        <w:spacing w:after="0"/>
        <w:ind w:left="360"/>
      </w:pPr>
      <w:r>
        <w:rPr>
          <w:rFonts w:ascii="Consolas" w:hAnsi="Consolas"/>
          <w:color w:val="64748B"/>
          <w:sz w:val="18"/>
        </w:rPr>
        <w:t>DETAIL:  Key (id_holder)=(99999) is not present in table "user".</w:t>
      </w:r>
    </w:p>
    <w:p/>
    <w:p>
      <w:pPr>
        <w:pStyle w:val="Heading2"/>
      </w:pPr>
      <w:r>
        <w:t>2.3 Lo que se encontró y NO se tocó</w:t>
      </w:r>
    </w:p>
    <w:p>
      <w:r>
        <w:rPr>
          <w:b w:val="0"/>
        </w:rPr>
        <w:t>Se reportó al responsable en lugar de decidirlo por cuenta propia, porque son datos y decisiones que no son de este trabajo:</w:t>
      </w:r>
    </w:p>
    <w:tbl>
      <w:tblPr>
        <w:tblStyle w:val="LightGrid-Accent1"/>
        <w:tblW w:type="auto" w:w="0"/>
        <w:tblLook w:firstColumn="1" w:firstRow="1" w:lastColumn="0" w:lastRow="0" w:noHBand="0" w:noVBand="1" w:val="04A0"/>
      </w:tblPr>
      <w:tblGrid>
        <w:gridCol w:w="4680"/>
        <w:gridCol w:w="4680"/>
      </w:tblGrid>
      <w:tr>
        <w:tc>
          <w:tcPr>
            <w:tcW w:type="dxa" w:w="4680"/>
          </w:tcPr>
          <w:p>
            <w:r/>
            <w:r>
              <w:rPr>
                <w:b/>
                <w:sz w:val="19"/>
              </w:rPr>
              <w:t>Qué</w:t>
            </w:r>
          </w:p>
        </w:tc>
        <w:tc>
          <w:tcPr>
            <w:tcW w:type="dxa" w:w="4680"/>
          </w:tcPr>
          <w:p>
            <w:r/>
            <w:r>
              <w:rPr>
                <w:b/>
                <w:sz w:val="19"/>
              </w:rPr>
              <w:t>Estado</w:t>
            </w:r>
          </w:p>
        </w:tc>
      </w:tr>
      <w:tr>
        <w:tc>
          <w:tcPr>
            <w:tcW w:type="dxa" w:w="4680"/>
          </w:tcPr>
          <w:p>
            <w:r/>
            <w:r>
              <w:rPr>
                <w:sz w:val="19"/>
              </w:rPr>
              <w:t>product.id_familia, id_marca, descripcion, cantidad</w:t>
            </w:r>
          </w:p>
        </w:tc>
        <w:tc>
          <w:tcPr>
            <w:tcW w:type="dxa" w:w="4680"/>
          </w:tcPr>
          <w:p>
            <w:r/>
            <w:r>
              <w:rPr>
                <w:sz w:val="19"/>
              </w:rPr>
              <w:t>Columnas sueltas sin llave, en paralelo al camino bueno (product → material). De 25 productos, 1 las usa. El rastreo las reporta como catalog_mismatch.</w:t>
            </w:r>
          </w:p>
        </w:tc>
      </w:tr>
      <w:tr>
        <w:tc>
          <w:tcPr>
            <w:tcW w:type="dxa" w:w="4680"/>
          </w:tcPr>
          <w:p>
            <w:r/>
            <w:r>
              <w:rPr>
                <w:sz w:val="19"/>
              </w:rPr>
              <w:t>incident.id_lider, location.id_module</w:t>
            </w:r>
          </w:p>
        </w:tc>
        <w:tc>
          <w:tcPr>
            <w:tcW w:type="dxa" w:w="4680"/>
          </w:tcPr>
          <w:p>
            <w:r/>
            <w:r>
              <w:rPr>
                <w:sz w:val="19"/>
              </w:rPr>
              <w:t>Sin llave foránea. Preexistentes.</w:t>
            </w:r>
          </w:p>
        </w:tc>
      </w:tr>
      <w:tr>
        <w:tc>
          <w:tcPr>
            <w:tcW w:type="dxa" w:w="4680"/>
          </w:tcPr>
          <w:p>
            <w:r/>
            <w:r>
              <w:rPr>
                <w:sz w:val="19"/>
              </w:rPr>
              <w:t>logistics_inventory, restaurant_inventory_item</w:t>
            </w:r>
          </w:p>
        </w:tc>
        <w:tc>
          <w:tcPr>
            <w:tcW w:type="dxa" w:w="4680"/>
          </w:tcPr>
          <w:p>
            <w:r/>
            <w:r>
              <w:rPr>
                <w:sz w:val="19"/>
              </w:rPr>
              <w:t>Dominios de inventario paralelos que ya existían. El trabajo del almacén no escribe en ninguno.</w:t>
            </w:r>
          </w:p>
        </w:tc>
      </w:tr>
    </w:tbl>
    <w:p/>
    <w:p>
      <w:pPr>
        <w:pStyle w:val="Heading2"/>
      </w:pPr>
      <w:r>
        <w:t>2.4 Un hallazgo de método</w:t>
      </w:r>
    </w:p>
    <w:p>
      <w:r>
        <w:rPr>
          <w:b w:val="0"/>
        </w:rPr>
        <w:t>Las fijaciones de prueba escribían `created_by = 1` e `id_user = 1` por todas partes sin que existiera ningún usuario 1. Funcionaba porque SQLite no aplica llaves foráneas. Dejó de funcionar en cuanto un servicio empezó a comprobar lo que la base ya debería exigir.</w:t>
      </w:r>
    </w:p>
    <w:p>
      <w:r>
        <w:rPr>
          <w:b w:val="0"/>
        </w:rPr>
        <w:t>Se sembraron usuarios de verdad en las tres fijaciones del almacén. Además de arreglar el día, le allana el camino al compañero que va a mover las pruebas a PostgreSQL.</w:t>
      </w:r>
    </w:p>
    <w:p>
      <w:pPr>
        <w:pStyle w:val="Heading1"/>
      </w:pPr>
      <w:r>
        <w:t>3. «Dos módulos que hacen lo mismo»</w:t>
      </w:r>
    </w:p>
    <w:p>
      <w:r>
        <w:rPr>
          <w:b w:val="0"/>
        </w:rPr>
        <w:t>Reporte textual del usuario: familias de producto y tipos de material parecían el mismo módulo duplicado. La respuesta fue mitad y mitad, y se contestó con los datos delante.</w:t>
      </w:r>
    </w:p>
    <w:p>
      <w:r>
        <w:rPr>
          <w:b w:val="0"/>
        </w:rPr>
        <w:t>En los datos NO son lo mismo. `material_type.id_product_family` hace que un tipo cuelgue de una familia, y lo capturado lo confirma:</w:t>
      </w:r>
    </w:p>
    <w:p>
      <w:pPr>
        <w:spacing w:after="0"/>
        <w:ind w:left="360"/>
      </w:pPr>
      <w:r>
        <w:rPr>
          <w:rFonts w:ascii="Consolas" w:hAnsi="Consolas"/>
          <w:color w:val="64748B"/>
          <w:sz w:val="18"/>
        </w:rPr>
        <w:t>familia "Desarmadores 112347"  -&gt;  tipos "Plano", "De cruz"</w:t>
      </w:r>
    </w:p>
    <w:p/>
    <w:p>
      <w:r>
        <w:rPr>
          <w:b w:val="0"/>
        </w:rPr>
        <w:t>Ninguna familia se llama «Plano» y ningún tipo se llama «Desarmadores». No son dos listas de lo mismo: es una lista y sus subdivisiones. Fundir las tablas obligaría a repetir el nombre de la familia en cada tipo, y entonces renombrar «Desarmadores» sería renombrarlo renglón por renglón, con la mitad sin renombrar en cuanto uno falle.</w:t>
      </w:r>
    </w:p>
    <w:p>
      <w:r>
        <w:rPr>
          <w:b w:val="0"/>
        </w:rPr>
        <w:t>En el menú SÍ lo eran. «Familias de producto» y «Tipos de material», una debajo de la otra, se leen como dos cosas del mismo rango. Y una pantalla propia de tipos no se puede leer: cada renglón depende de una familia que no está a la vista.</w:t>
      </w:r>
    </w:p>
    <w:p>
      <w:r>
        <w:rPr>
          <w:b w:val="0"/>
        </w:rPr>
        <w:t>Se fusionó la pantalla, no las tablas. Una sola entrada —«Familias y tipos»—, la familia como cabecera y sus tipos dentro, y el alta de un tipo desde la familia, así que no hay desplegable donde equivocarse y capturar «Plano» como tipo de «Cemento» —que es exactamente lo que se encontró en los datos de prueba—.</w:t>
      </w:r>
    </w:p>
    <w:p>
      <w:r>
        <w:rPr>
          <w:b w:val="0"/>
        </w:rPr>
        <w:t>La prueba propia de alcanzabilidad del menú falló al hacer el cambio, que es para lo que está. Se declaró la excepción con su motivo y se agregó una prueba de que si la pantalla anfitriona pierde su entrada, los tipos no se queden sin puerta en silencio.</w:t>
      </w:r>
    </w:p>
    <w:p>
      <w:pPr>
        <w:pStyle w:val="Heading1"/>
      </w:pPr>
      <w:r>
        <w:t>4. El vale: de papel a operación</w:t>
      </w:r>
    </w:p>
    <w:p>
      <w:r>
        <w:rPr>
          <w:b w:val="0"/>
        </w:rPr>
        <w:t>El usuario describió cómo debe funcionar el vale. Se midieron cuatro huecos contra esa descripción, y los cuatro eran reales.</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
              <w:rPr>
                <w:b/>
                <w:sz w:val="19"/>
              </w:rPr>
              <w:t>Hueco</w:t>
            </w:r>
          </w:p>
        </w:tc>
        <w:tc>
          <w:tcPr>
            <w:tcW w:type="dxa" w:w="3120"/>
          </w:tcPr>
          <w:p>
            <w:r/>
            <w:r>
              <w:rPr>
                <w:b/>
                <w:sz w:val="19"/>
              </w:rPr>
              <w:t>Qué provocaba</w:t>
            </w:r>
          </w:p>
        </w:tc>
        <w:tc>
          <w:tcPr>
            <w:tcW w:type="dxa" w:w="3120"/>
          </w:tcPr>
          <w:p>
            <w:r/>
            <w:r>
              <w:rPr>
                <w:b/>
                <w:sz w:val="19"/>
              </w:rPr>
              <w:t>Cómo quedó</w:t>
            </w:r>
          </w:p>
        </w:tc>
      </w:tr>
      <w:tr>
        <w:tc>
          <w:tcPr>
            <w:tcW w:type="dxa" w:w="3120"/>
          </w:tcPr>
          <w:p>
            <w:r/>
            <w:r>
              <w:rPr>
                <w:sz w:val="19"/>
              </w:rPr>
              <w:t>La fecha de regreso era opcional</w:t>
            </w:r>
          </w:p>
        </w:tc>
        <w:tc>
          <w:tcPr>
            <w:tcW w:type="dxa" w:w="3120"/>
          </w:tcPr>
          <w:p>
            <w:r/>
            <w:r>
              <w:rPr>
                <w:sz w:val="19"/>
              </w:rPr>
              <w:t>`vales_vencidos` filtra `due_date IS NOT NULL`, así que un vale sin fecha NUNCA está vencido: nadie lo reclama jamás.</w:t>
            </w:r>
          </w:p>
        </w:tc>
        <w:tc>
          <w:tcPr>
            <w:tcW w:type="dxa" w:w="3120"/>
          </w:tcPr>
          <w:p>
            <w:r/>
            <w:r>
              <w:rPr>
                <w:sz w:val="19"/>
              </w:rPr>
              <w:t>Obligatoria, y una fecha ya pasada se rechaza.</w:t>
            </w:r>
          </w:p>
        </w:tc>
      </w:tr>
      <w:tr>
        <w:tc>
          <w:tcPr>
            <w:tcW w:type="dxa" w:w="3120"/>
          </w:tcPr>
          <w:p>
            <w:r/>
            <w:r>
              <w:rPr>
                <w:sz w:val="19"/>
              </w:rPr>
              <w:t>El vale no movía el almacén</w:t>
            </w:r>
          </w:p>
        </w:tc>
        <w:tc>
          <w:tcPr>
            <w:tcW w:type="dxa" w:w="3120"/>
          </w:tcPr>
          <w:p>
            <w:r/>
            <w:r>
              <w:rPr>
                <w:sz w:val="19"/>
              </w:rPr>
              <w:t>Escribía sus renglones y no tocaba nada más. La pieza decía «disponible» estando fuera; el saldo contaba sacos que ya no estaban.</w:t>
            </w:r>
          </w:p>
        </w:tc>
        <w:tc>
          <w:tcPr>
            <w:tcW w:type="dxa" w:w="3120"/>
          </w:tcPr>
          <w:p>
            <w:r/>
            <w:r>
              <w:rPr>
                <w:sz w:val="19"/>
              </w:rPr>
              <w:t>La pieza queda PRESTADA con responsable y fecha; lo fungible se descuenta de su ubicación.</w:t>
            </w:r>
          </w:p>
        </w:tc>
      </w:tr>
      <w:tr>
        <w:tc>
          <w:tcPr>
            <w:tcW w:type="dxa" w:w="3120"/>
          </w:tcPr>
          <w:p>
            <w:r/>
            <w:r>
              <w:rPr>
                <w:sz w:val="19"/>
              </w:rPr>
              <w:t>La devolución no dejaba registro</w:t>
            </w:r>
          </w:p>
        </w:tc>
        <w:tc>
          <w:tcPr>
            <w:tcW w:type="dxa" w:w="3120"/>
          </w:tcPr>
          <w:p>
            <w:r/>
            <w:r>
              <w:rPr>
                <w:sz w:val="19"/>
              </w:rPr>
              <w:t>Sólo estampaba una fecha de cierre en el mismo renglón.</w:t>
            </w:r>
          </w:p>
        </w:tc>
        <w:tc>
          <w:tcPr>
            <w:tcW w:type="dxa" w:w="3120"/>
          </w:tcPr>
          <w:p>
            <w:r/>
            <w:r>
              <w:rPr>
                <w:sz w:val="19"/>
              </w:rPr>
              <w:t>Agrega un renglón de ENTRADA: salieron dos registros, vuelven dos.</w:t>
            </w:r>
          </w:p>
        </w:tc>
      </w:tr>
      <w:tr>
        <w:tc>
          <w:tcPr>
            <w:tcW w:type="dxa" w:w="3120"/>
          </w:tcPr>
          <w:p>
            <w:r/>
            <w:r>
              <w:rPr>
                <w:sz w:val="19"/>
              </w:rPr>
              <w:t>El renglón no decía la existencia</w:t>
            </w:r>
          </w:p>
        </w:tc>
        <w:tc>
          <w:tcPr>
            <w:tcW w:type="dxa" w:w="3120"/>
          </w:tcPr>
          <w:p>
            <w:r/>
            <w:r>
              <w:rPr>
                <w:sz w:val="19"/>
              </w:rPr>
              <w:t>«Salen 5 de 40» y «salen 5 de 5» se veían igual, y quien firma sólo veía la primera cifra.</w:t>
            </w:r>
          </w:p>
        </w:tc>
        <w:tc>
          <w:tcPr>
            <w:tcW w:type="dxa" w:w="3120"/>
          </w:tcPr>
          <w:p>
            <w:r/>
            <w:r>
              <w:rPr>
                <w:sz w:val="19"/>
              </w:rPr>
              <w:t>Cada renglón trae el saldo, en una consulta agrupada.</w:t>
            </w:r>
          </w:p>
        </w:tc>
      </w:tr>
    </w:tbl>
    <w:p/>
    <w:p>
      <w:r>
        <w:rPr>
          <w:b w:val="0"/>
          <w:color w:val="991B1B"/>
        </w:rPr>
        <w:t>El segundo era el grave y merece detalle. El módulo de piezas tiene una regla escrita en su propia cabecera: el saldo y las piezas no se pueden separar, y no hay un segundo camino que toque existencias. El vale era ese segundo camino.</w:t>
      </w:r>
    </w:p>
    <w:p>
      <w:r>
        <w:rPr>
          <w:b w:val="0"/>
        </w:rPr>
        <w:t>Se arregló haciéndolo pasar por las puertas de siempre: `transicion_en_sesion` para la pieza —la misma función que usa el préstamo suelto— y `apply_movement_in_session` para la cantidad. Como efecto, el vale hereda el guardia del saldo negativo: no puede prestar lo que no hay.</w:t>
      </w:r>
    </w:p>
    <w:p>
      <w:r>
        <w:rPr>
          <w:b w:val="0"/>
        </w:rPr>
        <w:t>Y dos cosas más salieron de la propia frase del usuario, «los vales son sólo de salida en calidad de préstamo»: la dirección dejó de capturarse —se podía guardar un traspaso entre racks como si fuera un vale, y entonces la lista de lo que está fuera contaba cosas que nunca salieron— y el motivo pasó a ser obligatorio.</w:t>
      </w:r>
    </w:p>
    <w:p>
      <w:r>
        <w:rPr>
          <w:b w:val="0"/>
        </w:rPr>
        <w:t>Verificación: 11 pruebas nuevas. Desactivando el movimiento, fallan 10 de 11.</w:t>
      </w:r>
    </w:p>
    <w:p>
      <w:pPr>
        <w:pStyle w:val="Heading2"/>
      </w:pPr>
      <w:r>
        <w:t>4.1 De paso</w:t>
      </w:r>
    </w:p>
    <w:p>
      <w:r>
        <w:rPr>
          <w:b w:val="0"/>
        </w:rPr>
        <w:t>Las siete claves de error del vale no estaban traducidas en ningún idioma: al usuario le llegaba `errors.voucher_asset_required` tal cual, el identificador del error en lugar de la frase que dice qué corregir. Ya están en español e inglés.</w:t>
      </w:r>
    </w:p>
    <w:p>
      <w:pPr>
        <w:pStyle w:val="Heading1"/>
      </w:pPr>
      <w:r>
        <w:t>5. Características por familia</w:t>
      </w:r>
    </w:p>
    <w:p>
      <w:r>
        <w:rPr>
          <w:b w:val="0"/>
        </w:rPr>
        <w:t>Con familia, tipo y marca se llega hasta «desarmador Truper plano». El resto —el largo, el mango, el calibre, los litros— se escribía dentro de la descripción:</w:t>
      </w:r>
    </w:p>
    <w:p>
      <w:pPr>
        <w:spacing w:after="0"/>
        <w:ind w:left="360"/>
      </w:pPr>
      <w:r>
        <w:rPr>
          <w:rFonts w:ascii="Consolas" w:hAnsi="Consolas"/>
          <w:color w:val="64748B"/>
          <w:sz w:val="18"/>
        </w:rPr>
        <w:t>"Desarmador plano 6 pulgadas mango de goma"</w:t>
      </w:r>
    </w:p>
    <w:p/>
    <w:p>
      <w:r>
        <w:rPr>
          <w:b w:val="0"/>
        </w:rPr>
        <w:t>Eso se puede leer y no se puede usar: nada de agrupar, filtrar ni contestar «cuántos de 6 pulgadas tengo», que es la pregunta que justifica todo esto.</w:t>
      </w:r>
    </w:p>
    <w:p>
      <w:r>
        <w:rPr>
          <w:b w:val="0"/>
        </w:rPr>
        <w:t>No pueden ser columnas, porque cada familia pide otras: un desarmador tiene largo y mango, un cable calibre y metros, la pintura litros y acabado. Con columnas fijas la tabla acaba con veinte, dieciocho vacías en cada renglón, y aun así falta la de la familia que entre mañana. Y no puede ser una columna JSON, porque nadie declararía qué campos aplican y cada quien escribiría la llave como quisiera —«largo», «longitud», «tamaño»—: es el mismo problema que tenía `product_status` cuando era texto libre.</w:t>
      </w:r>
    </w:p>
    <w:p>
      <w:r>
        <w:rPr>
          <w:b w:val="0"/>
        </w:rPr>
        <w:t>Se eligió el catálogo por familia, que es el mismo patrón que ya sigue el tipo de material:</w:t>
      </w:r>
    </w:p>
    <w:tbl>
      <w:tblPr>
        <w:tblStyle w:val="LightGrid-Accent1"/>
        <w:tblW w:type="auto" w:w="0"/>
        <w:tblLook w:firstColumn="1" w:firstRow="1" w:lastColumn="0" w:lastRow="0" w:noHBand="0" w:noVBand="1" w:val="04A0"/>
      </w:tblPr>
      <w:tblGrid>
        <w:gridCol w:w="4680"/>
        <w:gridCol w:w="4680"/>
      </w:tblGrid>
      <w:tr>
        <w:tc>
          <w:tcPr>
            <w:tcW w:type="dxa" w:w="4680"/>
          </w:tcPr>
          <w:p>
            <w:r/>
            <w:r>
              <w:rPr>
                <w:b/>
                <w:sz w:val="19"/>
              </w:rPr>
              <w:t>Tabla</w:t>
            </w:r>
          </w:p>
        </w:tc>
        <w:tc>
          <w:tcPr>
            <w:tcW w:type="dxa" w:w="4680"/>
          </w:tcPr>
          <w:p>
            <w:r/>
            <w:r>
              <w:rPr>
                <w:b/>
                <w:sz w:val="19"/>
              </w:rPr>
              <w:t>Qué guarda</w:t>
            </w:r>
          </w:p>
        </w:tc>
      </w:tr>
      <w:tr>
        <w:tc>
          <w:tcPr>
            <w:tcW w:type="dxa" w:w="4680"/>
          </w:tcPr>
          <w:p>
            <w:r/>
            <w:r>
              <w:rPr>
                <w:sz w:val="19"/>
              </w:rPr>
              <w:t>material_attribute</w:t>
            </w:r>
          </w:p>
        </w:tc>
        <w:tc>
          <w:tcPr>
            <w:tcW w:type="dxa" w:w="4680"/>
          </w:tcPr>
          <w:p>
            <w:r/>
            <w:r>
              <w:rPr>
                <w:sz w:val="19"/>
              </w:rPr>
              <w:t>Lo que la familia declara: nombre, tipo de dato, unidad, si es obligatoria.</w:t>
            </w:r>
          </w:p>
        </w:tc>
      </w:tr>
      <w:tr>
        <w:tc>
          <w:tcPr>
            <w:tcW w:type="dxa" w:w="4680"/>
          </w:tcPr>
          <w:p>
            <w:r/>
            <w:r>
              <w:rPr>
                <w:sz w:val="19"/>
              </w:rPr>
              <w:t>material_attribute_option</w:t>
            </w:r>
          </w:p>
        </w:tc>
        <w:tc>
          <w:tcPr>
            <w:tcW w:type="dxa" w:w="4680"/>
          </w:tcPr>
          <w:p>
            <w:r/>
            <w:r>
              <w:rPr>
                <w:sz w:val="19"/>
              </w:rPr>
              <w:t>Los valores permitidos cuando la característica es una lista.</w:t>
            </w:r>
          </w:p>
        </w:tc>
      </w:tr>
      <w:tr>
        <w:tc>
          <w:tcPr>
            <w:tcW w:type="dxa" w:w="4680"/>
          </w:tcPr>
          <w:p>
            <w:r/>
            <w:r>
              <w:rPr>
                <w:sz w:val="19"/>
              </w:rPr>
              <w:t>nm_material_attribute</w:t>
            </w:r>
          </w:p>
        </w:tc>
        <w:tc>
          <w:tcPr>
            <w:tcW w:type="dxa" w:w="4680"/>
          </w:tcPr>
          <w:p>
            <w:r/>
            <w:r>
              <w:rPr>
                <w:sz w:val="19"/>
              </w:rPr>
              <w:t>El valor que da cada material.</w:t>
            </w:r>
          </w:p>
        </w:tc>
      </w:tr>
    </w:tbl>
    <w:p/>
    <w:p>
      <w:r>
        <w:rPr>
          <w:b w:val="0"/>
        </w:rPr>
        <w:t>La decisión que importa está en el tipo de dato: un número se guarda ADEMÁS como número. Comparado como texto, «10» queda por debajo de «6», así que «de 6 pulgadas o más» daría la respuesta contraria. Verificado contra PostgreSQL: con un valor de 6.5, la consulta «de 7 o más» devuelve 0.</w:t>
      </w:r>
    </w:p>
    <w:p>
      <w:r>
        <w:rPr>
          <w:b w:val="0"/>
        </w:rPr>
        <w:t>Y la lista sólo acepta lo declarado, que es lo que impide que «mate», «Mate» y «MATE» acaben siendo tres acabados distintos: capturar «goma» guarda «Goma», un solo valor.</w:t>
      </w:r>
    </w:p>
    <w:p>
      <w:r>
        <w:rPr>
          <w:b w:val="0"/>
        </w:rPr>
        <w:t>Tres reglas más quedaron fijadas: el tipo de dato no se cambia —los valores ya capturados quedarían en la forma del tipo viejo y la comparación numérica empezaría a mentir en silencio—; no se borra lo que se está usando, y la lista dice cuántos materiales usan cada una porque «usada por 14» es una respuesta y «no se pudo eliminar» no; y se lee en lote, tres materiales en 4 consultas y no una por material.</w:t>
      </w:r>
    </w:p>
    <w:p>
      <w:r>
        <w:rPr>
          <w:b w:val="0"/>
        </w:rPr>
        <w:t>En pantalla vive dentro de la familia, en «Familias y tipos». «Largo» no significa nada por sí mismo: es el largo DE un desarmador. Se cargan al abrir la familia y no al abrir la pantalla, porque son una petición por familia.</w:t>
      </w:r>
    </w:p>
    <w:p>
      <w:r>
        <w:rPr>
          <w:b w:val="0"/>
        </w:rPr>
        <w:t>37 pruebas.</w:t>
      </w:r>
    </w:p>
    <w:p>
      <w:pPr>
        <w:pStyle w:val="Heading1"/>
      </w:pPr>
      <w:r>
        <w:t>6. Lotes y caducidad</w:t>
      </w:r>
    </w:p>
    <w:p>
      <w:r>
        <w:rPr>
          <w:b w:val="0"/>
        </w:rPr>
        <w:t>Un saldo de 300 sacos no dice cuándo caduca ninguno. Con eso, lo que se vence se descubre en el anaquel, y quien lo descubre ya no puede hacer nada: ni devolverlo al proveedor, ni sacarlo antes, ni dejar de comprar tanto.</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
              <w:rPr>
                <w:b/>
                <w:sz w:val="19"/>
              </w:rPr>
              <w:t>Tabla</w:t>
            </w:r>
          </w:p>
        </w:tc>
        <w:tc>
          <w:tcPr>
            <w:tcW w:type="dxa" w:w="3120"/>
          </w:tcPr>
          <w:p>
            <w:r/>
            <w:r>
              <w:rPr>
                <w:b/>
                <w:sz w:val="19"/>
              </w:rPr>
              <w:t>Qué guarda</w:t>
            </w:r>
          </w:p>
        </w:tc>
        <w:tc>
          <w:tcPr>
            <w:tcW w:type="dxa" w:w="3120"/>
          </w:tcPr>
          <w:p>
            <w:r/>
            <w:r>
              <w:rPr>
                <w:b/>
                <w:sz w:val="19"/>
              </w:rPr>
              <w:t>Por qué</w:t>
            </w:r>
          </w:p>
        </w:tc>
      </w:tr>
      <w:tr>
        <w:tc>
          <w:tcPr>
            <w:tcW w:type="dxa" w:w="3120"/>
          </w:tcPr>
          <w:p>
            <w:r/>
            <w:r>
              <w:rPr>
                <w:sz w:val="19"/>
              </w:rPr>
              <w:t>inventory_lot</w:t>
            </w:r>
          </w:p>
        </w:tc>
        <w:tc>
          <w:tcPr>
            <w:tcW w:type="dxa" w:w="3120"/>
          </w:tcPr>
          <w:p>
            <w:r/>
            <w:r>
              <w:rPr>
                <w:sz w:val="19"/>
              </w:rPr>
              <w:t>Producto, código del proveedor, fecha.</w:t>
            </w:r>
          </w:p>
        </w:tc>
        <w:tc>
          <w:tcPr>
            <w:tcW w:type="dxa" w:w="3120"/>
          </w:tcPr>
          <w:p>
            <w:r/>
            <w:r>
              <w:rPr>
                <w:sz w:val="19"/>
              </w:rPr>
              <w:t>Sin cantidades: un lote se reparte entre ubicaciones.</w:t>
            </w:r>
          </w:p>
        </w:tc>
      </w:tr>
      <w:tr>
        <w:tc>
          <w:tcPr>
            <w:tcW w:type="dxa" w:w="3120"/>
          </w:tcPr>
          <w:p>
            <w:r/>
            <w:r>
              <w:rPr>
                <w:sz w:val="19"/>
              </w:rPr>
              <w:t>inventory_lot_balance</w:t>
            </w:r>
          </w:p>
        </w:tc>
        <w:tc>
          <w:tcPr>
            <w:tcW w:type="dxa" w:w="3120"/>
          </w:tcPr>
          <w:p>
            <w:r/>
            <w:r>
              <w:rPr>
                <w:sz w:val="19"/>
              </w:rPr>
              <w:t>Cuánto queda de cada lote en cada sitio.</w:t>
            </w:r>
          </w:p>
        </w:tc>
        <w:tc>
          <w:tcPr>
            <w:tcW w:type="dxa" w:w="3120"/>
          </w:tcPr>
          <w:p>
            <w:r/>
            <w:r>
              <w:rPr>
                <w:sz w:val="19"/>
              </w:rPr>
              <w:t>Se podría derivar sumando el libro; se guarda por lo mismo que inventory_stock.</w:t>
            </w:r>
          </w:p>
        </w:tc>
      </w:tr>
      <w:tr>
        <w:tc>
          <w:tcPr>
            <w:tcW w:type="dxa" w:w="3120"/>
          </w:tcPr>
          <w:p>
            <w:r/>
            <w:r>
              <w:rPr>
                <w:sz w:val="19"/>
              </w:rPr>
              <w:t>nm_inventory_ledger_lot</w:t>
            </w:r>
          </w:p>
        </w:tc>
        <w:tc>
          <w:tcPr>
            <w:tcW w:type="dxa" w:w="3120"/>
          </w:tcPr>
          <w:p>
            <w:r/>
            <w:r>
              <w:rPr>
                <w:sz w:val="19"/>
              </w:rPr>
              <w:t>De qué lotes fue cada movimiento.</w:t>
            </w:r>
          </w:p>
        </w:tc>
        <w:tc>
          <w:tcPr>
            <w:tcW w:type="dxa" w:w="3120"/>
          </w:tcPr>
          <w:p>
            <w:r/>
            <w:r>
              <w:rPr>
                <w:sz w:val="19"/>
              </w:rPr>
              <w:t>Una salida de 30 puede cubrirse con tres lotes y el libro escribe UN renglón.</w:t>
            </w:r>
          </w:p>
        </w:tc>
      </w:tr>
    </w:tbl>
    <w:p/>
    <w:p>
      <w:r>
        <w:rPr>
          <w:b w:val="0"/>
        </w:rPr>
        <w:t>La regla de salida es primero lo que vence primero, y un lote sin fecha va al final —no es que dure para siempre: es que uno con fecha siempre es más urgente—. Contra PostgreSQL el orden salió PRONTO → TARDE → SIN-FECHA. Verificado al revés: invirtiendo el orden, dos pruebas fallan.</w:t>
      </w:r>
    </w:p>
    <w:p>
      <w:r>
        <w:rPr>
          <w:b w:val="0"/>
        </w:rPr>
        <w:t>Todo pasa por `apply_movement_in_session`, la única puerta que mueve existencias. No hay un camino propio de lotes: si lo hubiera, el saldo del producto y el desglose empezarían a discrepar y no habría forma de saber cuál creer.</w:t>
      </w:r>
    </w:p>
    <w:p>
      <w:r>
        <w:rPr>
          <w:b w:val="0"/>
        </w:rPr>
        <w:t>`lot_control` nace apagado, así que nada de lo que ya existía cambia de comportamiento.</w:t>
      </w:r>
    </w:p>
    <w:p>
      <w:pPr>
        <w:pStyle w:val="Heading2"/>
      </w:pPr>
      <w:r>
        <w:t>6.1 El hallazgo del día</w:t>
      </w:r>
    </w:p>
    <w:p>
      <w:r>
        <w:rPr>
          <w:b w:val="0"/>
          <w:color w:val="991B1B"/>
        </w:rPr>
        <w:t>La sonda contra PostgreSQL —no las pruebas— encontró el hueco. Se encendió el control por lote en un producto que YA tenía una unidad en existencia y el cuadre salió en falso:</w:t>
      </w:r>
    </w:p>
    <w:p>
      <w:pPr>
        <w:spacing w:after="0"/>
        <w:ind w:left="360"/>
      </w:pPr>
      <w:r>
        <w:rPr>
          <w:rFonts w:ascii="Consolas" w:hAnsi="Consolas"/>
          <w:color w:val="64748B"/>
          <w:sz w:val="18"/>
        </w:rPr>
        <w:t>cuadre: {'id_product': 1, 'balanced': False, 'differences':</w:t>
      </w:r>
    </w:p>
    <w:p>
      <w:pPr>
        <w:spacing w:after="0"/>
        <w:ind w:left="360"/>
      </w:pPr>
      <w:r>
        <w:rPr>
          <w:rFonts w:ascii="Consolas" w:hAnsi="Consolas"/>
          <w:color w:val="64748B"/>
          <w:sz w:val="18"/>
        </w:rPr>
        <w:t xml:space="preserve">  [{'id_location': 1, 'stock': 1, 'in_lots': 0, 'difference': 1}]}</w:t>
      </w:r>
    </w:p>
    <w:p/>
    <w:p>
      <w:r>
        <w:rPr>
          <w:b w:val="0"/>
        </w:rPr>
        <w:t>Esa unidad quedaba fuera de todo lote. Y como la salida se sirve de los lotes, no se podía despachar: el saldo decía que estaba y los lotes decían que no. Salía sólo con un ajuste, que es justamente la operación con la que se tapan faltantes.</w:t>
      </w:r>
    </w:p>
    <w:p>
      <w:r>
        <w:rPr>
          <w:b w:val="0"/>
        </w:rPr>
        <w:t>Encender el control dejó de ser escribir una columna. Ahora es una operación que crea un lote de APERTURA con lo que ya había en cada ubicación, sin fecha —nadie la sabe, es justo la información que no se llevaba— y sin fecha va al final del orden de salida, que es lo prudente. La columna ya no se puede escribir por el CRUD genérico, que era el camino por el que el fallo entraba.</w:t>
      </w:r>
    </w:p>
    <w:p>
      <w:r>
        <w:rPr>
          <w:b w:val="0"/>
        </w:rPr>
        <w:t>29 pruebas. Desactivando el lote de apertura, fallan 6.</w:t>
      </w:r>
    </w:p>
    <w:p>
      <w:pPr>
        <w:pStyle w:val="Heading2"/>
      </w:pPr>
      <w:r>
        <w:t>6.2 Un efecto lateral que valía la pena</w:t>
      </w:r>
    </w:p>
    <w:p>
      <w:r>
        <w:rPr>
          <w:b w:val="0"/>
        </w:rPr>
        <w:t>`tracking_mode`, `stock_purpose` y `lot_control` no salían en la respuesta de `product`. La pantalla del vale decide con `tracking_mode` si pide la pieza o la cantidad, así que sin ese campo toda herramienta parecía fungible y se podía capturar un préstamo sin decir cuál.</w:t>
      </w:r>
    </w:p>
    <w:p>
      <w:pPr>
        <w:pStyle w:val="Heading1"/>
      </w:pPr>
      <w:r>
        <w:t>7. Estado del inventario</w:t>
      </w:r>
    </w:p>
    <w:p>
      <w:r>
        <w:rPr>
          <w:b w:val="0"/>
        </w:rPr>
        <w:t>Dónde está cada parte del almacén al cierre del día.</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
              <w:rPr>
                <w:b/>
                <w:sz w:val="19"/>
              </w:rPr>
              <w:t>Parte</w:t>
            </w:r>
          </w:p>
        </w:tc>
        <w:tc>
          <w:tcPr>
            <w:tcW w:type="dxa" w:w="3120"/>
          </w:tcPr>
          <w:p>
            <w:r/>
            <w:r>
              <w:rPr>
                <w:b/>
                <w:sz w:val="19"/>
              </w:rPr>
              <w:t>Estado</w:t>
            </w:r>
          </w:p>
        </w:tc>
        <w:tc>
          <w:tcPr>
            <w:tcW w:type="dxa" w:w="3120"/>
          </w:tcPr>
          <w:p>
            <w:r/>
            <w:r>
              <w:rPr>
                <w:b/>
                <w:sz w:val="19"/>
              </w:rPr>
              <w:t>Cobertura</w:t>
            </w:r>
          </w:p>
        </w:tc>
      </w:tr>
      <w:tr>
        <w:tc>
          <w:tcPr>
            <w:tcW w:type="dxa" w:w="3120"/>
          </w:tcPr>
          <w:p>
            <w:r/>
            <w:r>
              <w:rPr>
                <w:sz w:val="19"/>
              </w:rPr>
              <w:t>Movimientos y saldos</w:t>
            </w:r>
          </w:p>
        </w:tc>
        <w:tc>
          <w:tcPr>
            <w:tcW w:type="dxa" w:w="3120"/>
          </w:tcPr>
          <w:p>
            <w:r/>
            <w:r>
              <w:rPr>
                <w:sz w:val="19"/>
              </w:rPr>
              <w:t>Producción</w:t>
            </w:r>
          </w:p>
        </w:tc>
        <w:tc>
          <w:tcPr>
            <w:tcW w:type="dxa" w:w="3120"/>
          </w:tcPr>
          <w:p>
            <w:r/>
            <w:r>
              <w:rPr>
                <w:sz w:val="19"/>
              </w:rPr>
              <w:t>Puerta única, idempotencia por petición, sin saldo negativo</w:t>
            </w:r>
          </w:p>
        </w:tc>
      </w:tr>
      <w:tr>
        <w:tc>
          <w:tcPr>
            <w:tcW w:type="dxa" w:w="3120"/>
          </w:tcPr>
          <w:p>
            <w:r/>
            <w:r>
              <w:rPr>
                <w:sz w:val="19"/>
              </w:rPr>
              <w:t>Traspasos</w:t>
            </w:r>
          </w:p>
        </w:tc>
        <w:tc>
          <w:tcPr>
            <w:tcW w:type="dxa" w:w="3120"/>
          </w:tcPr>
          <w:p>
            <w:r/>
            <w:r>
              <w:rPr>
                <w:sz w:val="19"/>
              </w:rPr>
              <w:t>Producción</w:t>
            </w:r>
          </w:p>
        </w:tc>
        <w:tc>
          <w:tcPr>
            <w:tcW w:type="dxa" w:w="3120"/>
          </w:tcPr>
          <w:p>
            <w:r/>
            <w:r>
              <w:rPr>
                <w:sz w:val="19"/>
              </w:rPr>
              <w:t>Dos puntas o ninguna, origen excluido del destino</w:t>
            </w:r>
          </w:p>
        </w:tc>
      </w:tr>
      <w:tr>
        <w:tc>
          <w:tcPr>
            <w:tcW w:type="dxa" w:w="3120"/>
          </w:tcPr>
          <w:p>
            <w:r/>
            <w:r>
              <w:rPr>
                <w:sz w:val="19"/>
              </w:rPr>
              <w:t>Piezas (serializado)</w:t>
            </w:r>
          </w:p>
        </w:tc>
        <w:tc>
          <w:tcPr>
            <w:tcW w:type="dxa" w:w="3120"/>
          </w:tcPr>
          <w:p>
            <w:r/>
            <w:r>
              <w:rPr>
                <w:sz w:val="19"/>
              </w:rPr>
              <w:t>Producción</w:t>
            </w:r>
          </w:p>
        </w:tc>
        <w:tc>
          <w:tcPr>
            <w:tcW w:type="dxa" w:w="3120"/>
          </w:tcPr>
          <w:p>
            <w:r/>
            <w:r>
              <w:rPr>
                <w:sz w:val="19"/>
              </w:rPr>
              <w:t>6 estados, bitácora de sólo agregado, 40 pruebas</w:t>
            </w:r>
          </w:p>
        </w:tc>
      </w:tr>
      <w:tr>
        <w:tc>
          <w:tcPr>
            <w:tcW w:type="dxa" w:w="3120"/>
          </w:tcPr>
          <w:p>
            <w:r/>
            <w:r>
              <w:rPr>
                <w:sz w:val="19"/>
              </w:rPr>
              <w:t>Rastreo / Localizar</w:t>
            </w:r>
          </w:p>
        </w:tc>
        <w:tc>
          <w:tcPr>
            <w:tcW w:type="dxa" w:w="3120"/>
          </w:tcPr>
          <w:p>
            <w:r/>
            <w:r>
              <w:rPr>
                <w:sz w:val="19"/>
              </w:rPr>
              <w:t>Producción</w:t>
            </w:r>
          </w:p>
        </w:tc>
        <w:tc>
          <w:tcPr>
            <w:tcW w:type="dxa" w:w="3120"/>
          </w:tcPr>
          <w:p>
            <w:r/>
            <w:r>
              <w:rPr>
                <w:sz w:val="19"/>
              </w:rPr>
              <w:t>13 consultas y 134 ms con 5 000 productos</w:t>
            </w:r>
          </w:p>
        </w:tc>
      </w:tr>
      <w:tr>
        <w:tc>
          <w:tcPr>
            <w:tcW w:type="dxa" w:w="3120"/>
          </w:tcPr>
          <w:p>
            <w:r/>
            <w:r>
              <w:rPr>
                <w:sz w:val="19"/>
              </w:rPr>
              <w:t>Vale de almacén</w:t>
            </w:r>
          </w:p>
        </w:tc>
        <w:tc>
          <w:tcPr>
            <w:tcW w:type="dxa" w:w="3120"/>
          </w:tcPr>
          <w:p>
            <w:r/>
            <w:r>
              <w:rPr>
                <w:sz w:val="19"/>
              </w:rPr>
              <w:t>Producción</w:t>
            </w:r>
          </w:p>
        </w:tc>
        <w:tc>
          <w:tcPr>
            <w:tcW w:type="dxa" w:w="3120"/>
          </w:tcPr>
          <w:p>
            <w:r/>
            <w:r>
              <w:rPr>
                <w:sz w:val="19"/>
              </w:rPr>
              <w:t>Mueve existencia, devolución append-only, 40 pruebas</w:t>
            </w:r>
          </w:p>
        </w:tc>
      </w:tr>
      <w:tr>
        <w:tc>
          <w:tcPr>
            <w:tcW w:type="dxa" w:w="3120"/>
          </w:tcPr>
          <w:p>
            <w:r/>
            <w:r>
              <w:rPr>
                <w:sz w:val="19"/>
              </w:rPr>
              <w:t>Familias, tipos y marcas</w:t>
            </w:r>
          </w:p>
        </w:tc>
        <w:tc>
          <w:tcPr>
            <w:tcW w:type="dxa" w:w="3120"/>
          </w:tcPr>
          <w:p>
            <w:r/>
            <w:r>
              <w:rPr>
                <w:sz w:val="19"/>
              </w:rPr>
              <w:t>Producción</w:t>
            </w:r>
          </w:p>
        </w:tc>
        <w:tc>
          <w:tcPr>
            <w:tcW w:type="dxa" w:w="3120"/>
          </w:tcPr>
          <w:p>
            <w:r/>
            <w:r>
              <w:rPr>
                <w:sz w:val="19"/>
              </w:rPr>
              <w:t>Una sola pantalla, jerarquía sostenida por llave</w:t>
            </w:r>
          </w:p>
        </w:tc>
      </w:tr>
      <w:tr>
        <w:tc>
          <w:tcPr>
            <w:tcW w:type="dxa" w:w="3120"/>
          </w:tcPr>
          <w:p>
            <w:r/>
            <w:r>
              <w:rPr>
                <w:sz w:val="19"/>
              </w:rPr>
              <w:t>Características por familia</w:t>
            </w:r>
          </w:p>
        </w:tc>
        <w:tc>
          <w:tcPr>
            <w:tcW w:type="dxa" w:w="3120"/>
          </w:tcPr>
          <w:p>
            <w:r/>
            <w:r>
              <w:rPr>
                <w:sz w:val="19"/>
              </w:rPr>
              <w:t>Nuevo hoy</w:t>
            </w:r>
          </w:p>
        </w:tc>
        <w:tc>
          <w:tcPr>
            <w:tcW w:type="dxa" w:w="3120"/>
          </w:tcPr>
          <w:p>
            <w:r/>
            <w:r>
              <w:rPr>
                <w:sz w:val="19"/>
              </w:rPr>
              <w:t>37 pruebas, probado contra PostgreSQL</w:t>
            </w:r>
          </w:p>
        </w:tc>
      </w:tr>
      <w:tr>
        <w:tc>
          <w:tcPr>
            <w:tcW w:type="dxa" w:w="3120"/>
          </w:tcPr>
          <w:p>
            <w:r/>
            <w:r>
              <w:rPr>
                <w:sz w:val="19"/>
              </w:rPr>
              <w:t>Lotes y caducidad</w:t>
            </w:r>
          </w:p>
        </w:tc>
        <w:tc>
          <w:tcPr>
            <w:tcW w:type="dxa" w:w="3120"/>
          </w:tcPr>
          <w:p>
            <w:r/>
            <w:r>
              <w:rPr>
                <w:sz w:val="19"/>
              </w:rPr>
              <w:t>Nuevo hoy</w:t>
            </w:r>
          </w:p>
        </w:tc>
        <w:tc>
          <w:tcPr>
            <w:tcW w:type="dxa" w:w="3120"/>
          </w:tcPr>
          <w:p>
            <w:r/>
            <w:r>
              <w:rPr>
                <w:sz w:val="19"/>
              </w:rPr>
              <w:t>29 pruebas, probado contra PostgreSQL</w:t>
            </w:r>
          </w:p>
        </w:tc>
      </w:tr>
      <w:tr>
        <w:tc>
          <w:tcPr>
            <w:tcW w:type="dxa" w:w="3120"/>
          </w:tcPr>
          <w:p>
            <w:r/>
            <w:r>
              <w:rPr>
                <w:sz w:val="19"/>
              </w:rPr>
              <w:t>Almacenes y ubicaciones</w:t>
            </w:r>
          </w:p>
        </w:tc>
        <w:tc>
          <w:tcPr>
            <w:tcW w:type="dxa" w:w="3120"/>
          </w:tcPr>
          <w:p>
            <w:r/>
            <w:r>
              <w:rPr>
                <w:sz w:val="19"/>
              </w:rPr>
              <w:t>Producción</w:t>
            </w:r>
          </w:p>
        </w:tc>
        <w:tc>
          <w:tcPr>
            <w:tcW w:type="dxa" w:w="3120"/>
          </w:tcPr>
          <w:p>
            <w:r/>
            <w:r>
              <w:rPr>
                <w:sz w:val="19"/>
              </w:rPr>
              <w:t>Árbol plegable, ruta completa en los formularios</w:t>
            </w:r>
          </w:p>
        </w:tc>
      </w:tr>
      <w:tr>
        <w:tc>
          <w:tcPr>
            <w:tcW w:type="dxa" w:w="3120"/>
          </w:tcPr>
          <w:p>
            <w:r/>
            <w:r>
              <w:rPr>
                <w:sz w:val="19"/>
              </w:rPr>
              <w:t>Valuación / costos</w:t>
            </w:r>
          </w:p>
        </w:tc>
        <w:tc>
          <w:tcPr>
            <w:tcW w:type="dxa" w:w="3120"/>
          </w:tcPr>
          <w:p>
            <w:r/>
            <w:r>
              <w:rPr>
                <w:sz w:val="19"/>
              </w:rPr>
              <w:t>No existe</w:t>
            </w:r>
          </w:p>
        </w:tc>
        <w:tc>
          <w:tcPr>
            <w:tcW w:type="dxa" w:w="3120"/>
          </w:tcPr>
          <w:p>
            <w:r/>
            <w:r>
              <w:rPr>
                <w:sz w:val="19"/>
              </w:rPr>
              <w:t>Fuera de alcance por decisión</w:t>
            </w:r>
          </w:p>
        </w:tc>
      </w:tr>
      <w:tr>
        <w:tc>
          <w:tcPr>
            <w:tcW w:type="dxa" w:w="3120"/>
          </w:tcPr>
          <w:p>
            <w:r/>
            <w:r>
              <w:rPr>
                <w:sz w:val="19"/>
              </w:rPr>
              <w:t>Conteo físico / inventario cíclico</w:t>
            </w:r>
          </w:p>
        </w:tc>
        <w:tc>
          <w:tcPr>
            <w:tcW w:type="dxa" w:w="3120"/>
          </w:tcPr>
          <w:p>
            <w:r/>
            <w:r>
              <w:rPr>
                <w:sz w:val="19"/>
              </w:rPr>
              <w:t>No existe</w:t>
            </w:r>
          </w:p>
        </w:tc>
        <w:tc>
          <w:tcPr>
            <w:tcW w:type="dxa" w:w="3120"/>
          </w:tcPr>
          <w:p>
            <w:r/>
            <w:r>
              <w:rPr>
                <w:sz w:val="19"/>
              </w:rPr>
              <w:t>Ver sección 8</w:t>
            </w:r>
          </w:p>
        </w:tc>
      </w:tr>
    </w:tbl>
    <w:p/>
    <w:p>
      <w:r>
        <w:rPr>
          <w:b w:val="0"/>
        </w:rPr>
        <w:t>14 tablas en el dominio, 73 migraciones reaplicables, 1 183 pruebas en verde.</w:t>
      </w:r>
    </w:p>
    <w:p>
      <w:pPr>
        <w:pStyle w:val="Heading1"/>
      </w:pPr>
      <w:r>
        <w:t>8. Lo que falta</w:t>
      </w:r>
    </w:p>
    <w:p>
      <w:r>
        <w:rPr>
          <w:b w:val="0"/>
        </w:rPr>
        <w:t>Ordenado por lo que más se va a notar en el uso diario.</w:t>
      </w:r>
    </w:p>
    <w:p>
      <w:pPr>
        <w:pStyle w:val="Heading2"/>
      </w:pPr>
      <w:r>
        <w:t>8.1 Del almacén</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
              <w:rPr>
                <w:b/>
                <w:sz w:val="19"/>
              </w:rPr>
              <w:t>Falta</w:t>
            </w:r>
          </w:p>
        </w:tc>
        <w:tc>
          <w:tcPr>
            <w:tcW w:type="dxa" w:w="3120"/>
          </w:tcPr>
          <w:p>
            <w:r/>
            <w:r>
              <w:rPr>
                <w:b/>
                <w:sz w:val="19"/>
              </w:rPr>
              <w:t>Por qué importa</w:t>
            </w:r>
          </w:p>
        </w:tc>
        <w:tc>
          <w:tcPr>
            <w:tcW w:type="dxa" w:w="3120"/>
          </w:tcPr>
          <w:p>
            <w:r/>
            <w:r>
              <w:rPr>
                <w:b/>
                <w:sz w:val="19"/>
              </w:rPr>
              <w:t>Tamaño</w:t>
            </w:r>
          </w:p>
        </w:tc>
      </w:tr>
      <w:tr>
        <w:tc>
          <w:tcPr>
            <w:tcW w:type="dxa" w:w="3120"/>
          </w:tcPr>
          <w:p>
            <w:r/>
            <w:r>
              <w:rPr>
                <w:sz w:val="19"/>
              </w:rPr>
              <w:t>Conteo físico / inventario cíclico</w:t>
            </w:r>
          </w:p>
        </w:tc>
        <w:tc>
          <w:tcPr>
            <w:tcW w:type="dxa" w:w="3120"/>
          </w:tcPr>
          <w:p>
            <w:r/>
            <w:r>
              <w:rPr>
                <w:sz w:val="19"/>
              </w:rPr>
              <w:t>Hoy la única forma de corregir un descuadre es el ajuste, que es la operación con la que se tapan faltantes. Un conteo deja documento y no depende de un permiso especial.</w:t>
            </w:r>
          </w:p>
        </w:tc>
        <w:tc>
          <w:tcPr>
            <w:tcW w:type="dxa" w:w="3120"/>
          </w:tcPr>
          <w:p>
            <w:r/>
            <w:r>
              <w:rPr>
                <w:sz w:val="19"/>
              </w:rPr>
              <w:t>Medio</w:t>
            </w:r>
          </w:p>
        </w:tc>
      </w:tr>
      <w:tr>
        <w:tc>
          <w:tcPr>
            <w:tcW w:type="dxa" w:w="3120"/>
          </w:tcPr>
          <w:p>
            <w:r/>
            <w:r>
              <w:rPr>
                <w:sz w:val="19"/>
              </w:rPr>
              <w:t>Pantalla de «qué está por vencer»</w:t>
            </w:r>
          </w:p>
        </w:tc>
        <w:tc>
          <w:tcPr>
            <w:tcW w:type="dxa" w:w="3120"/>
          </w:tcPr>
          <w:p>
            <w:r/>
            <w:r>
              <w:rPr>
                <w:sz w:val="19"/>
              </w:rPr>
              <w:t>El servicio y la ruta existen (`/inventory/expiring`), pero no hay dónde verlo salvo producto por producto. Es la razón de llevar lotes.</w:t>
            </w:r>
          </w:p>
        </w:tc>
        <w:tc>
          <w:tcPr>
            <w:tcW w:type="dxa" w:w="3120"/>
          </w:tcPr>
          <w:p>
            <w:r/>
            <w:r>
              <w:rPr>
                <w:sz w:val="19"/>
              </w:rPr>
              <w:t>Chico</w:t>
            </w:r>
          </w:p>
        </w:tc>
      </w:tr>
      <w:tr>
        <w:tc>
          <w:tcPr>
            <w:tcW w:type="dxa" w:w="3120"/>
          </w:tcPr>
          <w:p>
            <w:r/>
            <w:r>
              <w:rPr>
                <w:sz w:val="19"/>
              </w:rPr>
              <w:t>Encender lotes desde la pantalla</w:t>
            </w:r>
          </w:p>
        </w:tc>
        <w:tc>
          <w:tcPr>
            <w:tcW w:type="dxa" w:w="3120"/>
          </w:tcPr>
          <w:p>
            <w:r/>
            <w:r>
              <w:rPr>
                <w:sz w:val="19"/>
              </w:rPr>
              <w:t>La operación existe y está probada, pero hay que llamarla por API: no hay interruptor en el producto.</w:t>
            </w:r>
          </w:p>
        </w:tc>
        <w:tc>
          <w:tcPr>
            <w:tcW w:type="dxa" w:w="3120"/>
          </w:tcPr>
          <w:p>
            <w:r/>
            <w:r>
              <w:rPr>
                <w:sz w:val="19"/>
              </w:rPr>
              <w:t>Chico</w:t>
            </w:r>
          </w:p>
        </w:tc>
      </w:tr>
      <w:tr>
        <w:tc>
          <w:tcPr>
            <w:tcW w:type="dxa" w:w="3120"/>
          </w:tcPr>
          <w:p>
            <w:r/>
            <w:r>
              <w:rPr>
                <w:sz w:val="19"/>
              </w:rPr>
              <w:t>Filtrar por características en Localizar</w:t>
            </w:r>
          </w:p>
        </w:tc>
        <w:tc>
          <w:tcPr>
            <w:tcW w:type="dxa" w:w="3120"/>
          </w:tcPr>
          <w:p>
            <w:r/>
            <w:r>
              <w:rPr>
                <w:sz w:val="19"/>
              </w:rPr>
              <w:t>«Cuántos desarmadores de 6 pulgadas tengo» ya es una consulta, pero sólo por API. La pantalla de rastreo todavía no la ofrece.</w:t>
            </w:r>
          </w:p>
        </w:tc>
        <w:tc>
          <w:tcPr>
            <w:tcW w:type="dxa" w:w="3120"/>
          </w:tcPr>
          <w:p>
            <w:r/>
            <w:r>
              <w:rPr>
                <w:sz w:val="19"/>
              </w:rPr>
              <w:t>Chico</w:t>
            </w:r>
          </w:p>
        </w:tc>
      </w:tr>
      <w:tr>
        <w:tc>
          <w:tcPr>
            <w:tcW w:type="dxa" w:w="3120"/>
          </w:tcPr>
          <w:p>
            <w:r/>
            <w:r>
              <w:rPr>
                <w:sz w:val="19"/>
              </w:rPr>
              <w:t>Punto de reorden</w:t>
            </w:r>
          </w:p>
        </w:tc>
        <w:tc>
          <w:tcPr>
            <w:tcW w:type="dxa" w:w="3120"/>
          </w:tcPr>
          <w:p>
            <w:r/>
            <w:r>
              <w:rPr>
                <w:sz w:val="19"/>
              </w:rPr>
              <w:t>Mínimo y máximo por producto y ubicación, con aviso de lo que hay que resurtir. Se dejó fuera al elegir alcance.</w:t>
            </w:r>
          </w:p>
        </w:tc>
        <w:tc>
          <w:tcPr>
            <w:tcW w:type="dxa" w:w="3120"/>
          </w:tcPr>
          <w:p>
            <w:r/>
            <w:r>
              <w:rPr>
                <w:sz w:val="19"/>
              </w:rPr>
              <w:t>Medio</w:t>
            </w:r>
          </w:p>
        </w:tc>
      </w:tr>
      <w:tr>
        <w:tc>
          <w:tcPr>
            <w:tcW w:type="dxa" w:w="3120"/>
          </w:tcPr>
          <w:p>
            <w:r/>
            <w:r>
              <w:rPr>
                <w:sz w:val="19"/>
              </w:rPr>
              <w:t>Costo y valuación</w:t>
            </w:r>
          </w:p>
        </w:tc>
        <w:tc>
          <w:tcPr>
            <w:tcW w:type="dxa" w:w="3120"/>
          </w:tcPr>
          <w:p>
            <w:r/>
            <w:r>
              <w:rPr>
                <w:sz w:val="19"/>
              </w:rPr>
              <w:t>Cuánto vale el almacén y cuánto costó lo que salió. Pide decidir promedio o FIFO; se dejó fuera a propósito para no dar una cifra que parece un costo sin serlo.</w:t>
            </w:r>
          </w:p>
        </w:tc>
        <w:tc>
          <w:tcPr>
            <w:tcW w:type="dxa" w:w="3120"/>
          </w:tcPr>
          <w:p>
            <w:r/>
            <w:r>
              <w:rPr>
                <w:sz w:val="19"/>
              </w:rPr>
              <w:t>Grande</w:t>
            </w:r>
          </w:p>
        </w:tc>
      </w:tr>
      <w:tr>
        <w:tc>
          <w:tcPr>
            <w:tcW w:type="dxa" w:w="3120"/>
          </w:tcPr>
          <w:p>
            <w:r/>
            <w:r>
              <w:rPr>
                <w:sz w:val="19"/>
              </w:rPr>
              <w:t>Proveedor por entrada</w:t>
            </w:r>
          </w:p>
        </w:tc>
        <w:tc>
          <w:tcPr>
            <w:tcW w:type="dxa" w:w="3120"/>
          </w:tcPr>
          <w:p>
            <w:r/>
            <w:r>
              <w:rPr>
                <w:sz w:val="19"/>
              </w:rPr>
              <w:t>De quién vino cada lote, para reclamar y comparar precios.</w:t>
            </w:r>
          </w:p>
        </w:tc>
        <w:tc>
          <w:tcPr>
            <w:tcW w:type="dxa" w:w="3120"/>
          </w:tcPr>
          <w:p>
            <w:r/>
            <w:r>
              <w:rPr>
                <w:sz w:val="19"/>
              </w:rPr>
              <w:t>Chico</w:t>
            </w:r>
          </w:p>
        </w:tc>
      </w:tr>
      <w:tr>
        <w:tc>
          <w:tcPr>
            <w:tcW w:type="dxa" w:w="3120"/>
          </w:tcPr>
          <w:p>
            <w:r/>
            <w:r>
              <w:rPr>
                <w:sz w:val="19"/>
              </w:rPr>
              <w:t>Etiquetas y códigos de barras</w:t>
            </w:r>
          </w:p>
        </w:tc>
        <w:tc>
          <w:tcPr>
            <w:tcW w:type="dxa" w:w="3120"/>
          </w:tcPr>
          <w:p>
            <w:r/>
            <w:r>
              <w:rPr>
                <w:sz w:val="19"/>
              </w:rPr>
              <w:t>Hoy el código de la pieza y el del lote se teclean. Con volumen, es donde entran los errores de captura.</w:t>
            </w:r>
          </w:p>
        </w:tc>
        <w:tc>
          <w:tcPr>
            <w:tcW w:type="dxa" w:w="3120"/>
          </w:tcPr>
          <w:p>
            <w:r/>
            <w:r>
              <w:rPr>
                <w:sz w:val="19"/>
              </w:rPr>
              <w:t>Medio</w:t>
            </w:r>
          </w:p>
        </w:tc>
      </w:tr>
    </w:tbl>
    <w:p/>
    <w:p>
      <w:pPr>
        <w:pStyle w:val="Heading2"/>
      </w:pPr>
      <w:r>
        <w:t>8.2 Decisiones pendientes del responsable</w:t>
      </w:r>
    </w:p>
    <w:p>
      <w:pPr>
        <w:pStyle w:val="ListParagraph"/>
        <w:spacing w:after="80"/>
        <w:ind w:left="360"/>
      </w:pPr>
      <w:r>
        <w:rPr>
          <w:b/>
        </w:rPr>
        <w:t xml:space="preserve">Los identificadores de rol </w:t>
      </w:r>
      <w:r>
        <w:t>del registro no coinciden con los de la base. Está pendiente desde hace días y no se toca por cuenta propia: cambiarlo mueve permisos de gente real.</w:t>
      </w:r>
    </w:p>
    <w:p>
      <w:pPr>
        <w:pStyle w:val="ListParagraph"/>
        <w:spacing w:after="80"/>
        <w:ind w:left="360"/>
      </w:pPr>
      <w:r>
        <w:rPr>
          <w:b/>
        </w:rPr>
        <w:t xml:space="preserve">Las columnas sueltas de `product` </w:t>
      </w:r>
      <w:r>
        <w:t>—id_familia, id_marca, descripcion, cantidad—. O se retiran o se traspasan al camino bueno; hoy conviven y sólo una fila las usa.</w:t>
      </w:r>
    </w:p>
    <w:p>
      <w:pPr>
        <w:pStyle w:val="ListParagraph"/>
        <w:spacing w:after="80"/>
        <w:ind w:left="360"/>
      </w:pPr>
      <w:r>
        <w:rPr>
          <w:b/>
        </w:rPr>
        <w:t xml:space="preserve">`inventory_status.id_department` </w:t>
      </w:r>
      <w:r>
        <w:t>es NOT NULL con DEFAULT 4 y sólo existe el departamento 1. Cualquier inserción que confíe en el valor por omisión falla en el COMMIT.</w:t>
      </w:r>
    </w:p>
    <w:p>
      <w:pPr>
        <w:pStyle w:val="ListParagraph"/>
        <w:spacing w:after="80"/>
        <w:ind w:left="360"/>
      </w:pPr>
      <w:r>
        <w:rPr>
          <w:b/>
        </w:rPr>
        <w:t xml:space="preserve">Las pruebas en SQLite </w:t>
      </w:r>
      <w:r>
        <w:t>y la base en PostgreSQL. La migración la hace un compañero; hoy se le adelantó trabajo sembrando usuarios reales en tres fijaciones.</w:t>
      </w:r>
    </w:p>
    <w:p>
      <w:pPr>
        <w:pStyle w:val="Heading2"/>
      </w:pPr>
      <w:r>
        <w:t>8.3 De otros frentes, ya planteado y sin respuesta</w:t>
      </w:r>
    </w:p>
    <w:p>
      <w:pPr>
        <w:pStyle w:val="ListParagraph"/>
        <w:spacing w:after="80"/>
        <w:ind w:left="360"/>
      </w:pPr>
      <w:r>
        <w:rPr>
          <w:b/>
        </w:rPr>
        <w:t xml:space="preserve">Operaciones </w:t>
      </w:r>
      <w:r>
        <w:t>quedó pendiente saber si esa corriente de trabajo es del propio usuario o de un compañero. No se reconstruye nada de ahí sin saberlo. Lo único ofrecido y no cubierto son las diferencias de vista e interacción por rol.</w:t>
      </w:r>
    </w:p>
    <w:p>
      <w:pPr>
        <w:pStyle w:val="ListParagraph"/>
        <w:spacing w:after="80"/>
        <w:ind w:left="360"/>
      </w:pPr>
      <w:r>
        <w:rPr>
          <w:b/>
        </w:rPr>
        <w:t xml:space="preserve">Calendario y reuniones </w:t>
      </w:r>
      <w:r>
        <w:t>guardar el enlace de la reunión —barato, sin credenciales— o crearla por OAuth, que pide aplicación, secretos y almacenar tokens. La recomendación sigue siendo el enlace primero.</w:t>
      </w:r>
    </w:p>
    <w:p>
      <w:pPr>
        <w:pStyle w:val="Heading1"/>
      </w:pPr>
      <w:r>
        <w:t>9. Método</w:t>
      </w:r>
    </w:p>
    <w:p>
      <w:r>
        <w:rPr>
          <w:b w:val="0"/>
        </w:rPr>
        <w:t>Lo que se sostiene en esta bitácora está medido, no supuesto:</w:t>
      </w:r>
    </w:p>
    <w:p>
      <w:pPr>
        <w:pStyle w:val="ListParagraph"/>
        <w:spacing w:after="80"/>
        <w:ind w:left="360"/>
      </w:pPr>
      <w:r>
        <w:rPr>
          <w:b/>
        </w:rPr>
        <w:t xml:space="preserve">Las llaves foráneas </w:t>
      </w:r>
      <w:r>
        <w:t>se probaron contra PostgreSQL con un UPDATE que la base rechazó.</w:t>
      </w:r>
    </w:p>
    <w:p>
      <w:pPr>
        <w:pStyle w:val="ListParagraph"/>
        <w:spacing w:after="80"/>
        <w:ind w:left="360"/>
      </w:pPr>
      <w:r>
        <w:rPr>
          <w:b/>
        </w:rPr>
        <w:t xml:space="preserve">El orden de salida por caducidad </w:t>
      </w:r>
      <w:r>
        <w:t>se verificó al revés: invirtiendo el criterio, dos pruebas fallan. Una prueba que pasa con el código roto no fija nada.</w:t>
      </w:r>
    </w:p>
    <w:p>
      <w:pPr>
        <w:pStyle w:val="ListParagraph"/>
        <w:spacing w:after="80"/>
        <w:ind w:left="360"/>
      </w:pPr>
      <w:r>
        <w:rPr>
          <w:b/>
        </w:rPr>
        <w:t xml:space="preserve">Cada invariante nueva </w:t>
      </w:r>
      <w:r>
        <w:t>se comprobó desactivándola: el vale sin movimiento tumba 10 de 11 pruebas; el lote de apertura desactivado tumba 6; la comprobación del responsable, 4.</w:t>
      </w:r>
    </w:p>
    <w:p>
      <w:pPr>
        <w:pStyle w:val="ListParagraph"/>
        <w:spacing w:after="80"/>
        <w:ind w:left="360"/>
      </w:pPr>
      <w:r>
        <w:rPr>
          <w:b/>
        </w:rPr>
        <w:t xml:space="preserve">Dos sondas contra PostgreSQL </w:t>
      </w:r>
      <w:r>
        <w:t>—una por pieza nueva— además de la suite en SQLite. La segunda encontró el fallo de la sección 6.1, que las pruebas no veían.</w:t>
      </w:r>
    </w:p>
    <w:p>
      <w:r>
        <w:rPr>
          <w:b w:val="0"/>
        </w:rPr>
        <w:t>Y una corrección de rumbo propia: los mensajes de error se pusieron primero en `backend/app/i18n`, y se revirtieron al comprobar que ningún código de Python lee esos archivos. Estructura inventada, fuera.</w:t>
      </w:r>
    </w:p>
    <w:p>
      <w:r>
        <w:rPr>
          <w:b w:val="0"/>
        </w:rPr>
      </w:r>
    </w:p>
    <w:p>
      <w:pPr>
        <w:jc w:val="center"/>
      </w:pPr>
      <w:r>
        <w:rPr>
          <w:b w:val="0"/>
          <w:color w:val="64748B"/>
          <w:sz w:val="18"/>
        </w:rPr>
        <w:t>Cierre del día · 7 de septiembre de 2026 · rama initAngm, sin commitear a petición del responsable.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7A6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B7A6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