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3C" w:rsidRPr="00A37414" w:rsidRDefault="00D34282">
      <w:pPr>
        <w:spacing w:after="0" w:line="300" w:lineRule="atLeast"/>
        <w:jc w:val="center"/>
      </w:pP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Code</w:t>
      </w:r>
      <w:proofErr w:type="spellEnd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 xml:space="preserve"> </w:t>
      </w:r>
      <w:proofErr w:type="spellStart"/>
      <w:r w:rsidRPr="00A37414">
        <w:rPr>
          <w:rFonts w:ascii="Verdana" w:eastAsia="Times New Roman" w:hAnsi="Verdana"/>
          <w:b/>
          <w:bCs/>
          <w:sz w:val="24"/>
          <w:szCs w:val="18"/>
          <w:lang w:eastAsia="es-PE"/>
        </w:rPr>
        <w:t>Smells</w:t>
      </w:r>
      <w:proofErr w:type="spellEnd"/>
    </w:p>
    <w:p w:rsidR="001A5A3C" w:rsidRPr="00A37414" w:rsidRDefault="001A5A3C">
      <w:pPr>
        <w:spacing w:after="0" w:line="300" w:lineRule="atLeast"/>
        <w:jc w:val="both"/>
      </w:pPr>
    </w:p>
    <w:tbl>
      <w:tblPr>
        <w:tblW w:w="11309" w:type="dxa"/>
        <w:tblCellSpacing w:w="45" w:type="dxa"/>
        <w:tblInd w:w="-86" w:type="dxa"/>
        <w:tblCellMar>
          <w:top w:w="62" w:type="dxa"/>
          <w:left w:w="62" w:type="dxa"/>
          <w:bottom w:w="62" w:type="dxa"/>
          <w:right w:w="62" w:type="dxa"/>
        </w:tblCellMar>
        <w:tblLook w:val="0000" w:firstRow="0" w:lastRow="0" w:firstColumn="0" w:lastColumn="0" w:noHBand="0" w:noVBand="0"/>
      </w:tblPr>
      <w:tblGrid>
        <w:gridCol w:w="2639"/>
        <w:gridCol w:w="8670"/>
      </w:tblGrid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Method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Los métodos cortos son más fáciles de leer, entender y atacar.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Refactoriza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métodos largos en varios más cortos de ser posible.</w:t>
            </w:r>
          </w:p>
        </w:tc>
      </w:tr>
      <w:tr w:rsidR="00B52725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725" w:rsidRPr="00A37414" w:rsidRDefault="00B52725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Dead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725" w:rsidRPr="00A37414" w:rsidRDefault="00BE5D7A" w:rsidP="00BE5D7A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Eliminar sin piedad el código que no está siendo utilizado. Es por eso que tenemos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Source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Control </w:t>
            </w:r>
            <w:proofErr w:type="spellStart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Systems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. 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Long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Parameter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List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 mayor cantidad de parámetros que tiene un método origina una mayor complejidad. Limita el nú</w:t>
            </w:r>
            <w:r w:rsid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mero de parámetros que necesitas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en un método, o  usa un objeto que combine los parámetros.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Duplicated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code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 w:rsidP="00A37414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Código duplicado es la perdición en el de</w:t>
            </w:r>
            <w:bookmarkStart w:id="0" w:name="_GoBack"/>
            <w:bookmarkEnd w:id="0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sarrollo de software. </w:t>
            </w:r>
            <w:r w:rsidR="00A37414"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Remueve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el código duplicado </w:t>
            </w:r>
            <w:r w:rsidR="00A37414"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apenas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sea posible. También deberías estar atento a casos </w:t>
            </w:r>
            <w:r w:rsid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sutiles de duplicación.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Data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Clumps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 w:rsidP="00A37414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Si siempre ves los mismo</w:t>
            </w:r>
            <w:r w:rsid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datos </w:t>
            </w:r>
            <w:r w:rsid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dando vueltas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juntos, quizás deberían </w:t>
            </w:r>
            <w:r w:rsid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pertenecer a una sola unidad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. Considera juntar datos relacionados en una clase.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Primitive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Obsession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No utilices variables de tipos de datos primitivos como un pobre sustituto de una clase. Si tu tipo de dato es lo suficientemente complejo, escribe una clase que lo represente.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Refused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Bequest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Si heredas de una clase, pero nunca usas ninguna de las funcionalidades heredadas, </w:t>
            </w:r>
            <w:r w:rsidR="00E10006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¿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 realidad deberías estar usando herencia?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Statements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 w:rsidP="00A37414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Este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smell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existe cuando el mismo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switch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(o cadena de "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…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else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…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else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") está duplicado a lo largo del sistema. Esta duplicación revela la falta de orientación a objetos y pierde la oportunidad de confiar en la elegancia del polimorfismo.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Shotgun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Surgery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Si un cambio en una clase </w:t>
            </w:r>
            <w:r w:rsidR="00A37414"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requiere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varios cambios en cascada en clases relacionadas, considere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refactorizar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de manera que el cambio este limitado a una sola clase.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Lazy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Class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 w:rsidP="00E10006">
            <w:pPr>
              <w:spacing w:after="0" w:line="100" w:lineRule="atLeast"/>
              <w:jc w:val="both"/>
            </w:pPr>
            <w:r w:rsidRPr="00A37414">
              <w:rPr>
                <w:rFonts w:ascii="Verdana" w:hAnsi="Verdana"/>
                <w:sz w:val="20"/>
                <w:szCs w:val="20"/>
              </w:rPr>
              <w:t>Las clase</w:t>
            </w:r>
            <w:r w:rsidR="00A37414">
              <w:rPr>
                <w:rFonts w:ascii="Verdana" w:hAnsi="Verdana"/>
                <w:sz w:val="20"/>
                <w:szCs w:val="20"/>
              </w:rPr>
              <w:t>s</w:t>
            </w:r>
            <w:r w:rsidRPr="00A37414">
              <w:rPr>
                <w:rFonts w:ascii="Verdana" w:hAnsi="Verdana"/>
                <w:sz w:val="20"/>
                <w:szCs w:val="20"/>
              </w:rPr>
              <w:t xml:space="preserve"> debe</w:t>
            </w:r>
            <w:r w:rsidR="00A37414">
              <w:rPr>
                <w:rFonts w:ascii="Verdana" w:hAnsi="Verdana"/>
                <w:sz w:val="20"/>
                <w:szCs w:val="20"/>
              </w:rPr>
              <w:t>n</w:t>
            </w:r>
            <w:r w:rsidRPr="00A37414">
              <w:rPr>
                <w:rFonts w:ascii="Verdana" w:hAnsi="Verdana"/>
                <w:sz w:val="20"/>
                <w:szCs w:val="20"/>
              </w:rPr>
              <w:t xml:space="preserve"> tener su propio peso. Cada clase adicional incrementa la complejidad del proyecto. Si tienes una clase q</w:t>
            </w:r>
            <w:r w:rsidR="00A37414">
              <w:rPr>
                <w:rFonts w:ascii="Verdana" w:hAnsi="Verdana"/>
                <w:sz w:val="20"/>
                <w:szCs w:val="20"/>
              </w:rPr>
              <w:t>u</w:t>
            </w:r>
            <w:r w:rsidRPr="00A37414">
              <w:rPr>
                <w:rFonts w:ascii="Verdana" w:hAnsi="Verdana"/>
                <w:sz w:val="20"/>
                <w:szCs w:val="20"/>
              </w:rPr>
              <w:t xml:space="preserve">e no está haciendo lo suficiente para sustentarse por ella misma, </w:t>
            </w:r>
            <w:r w:rsidR="00E10006">
              <w:rPr>
                <w:rFonts w:ascii="Verdana" w:hAnsi="Verdana"/>
                <w:sz w:val="20"/>
                <w:szCs w:val="20"/>
              </w:rPr>
              <w:t>¿</w:t>
            </w:r>
            <w:r w:rsidRPr="00A37414">
              <w:rPr>
                <w:rFonts w:ascii="Verdana" w:hAnsi="Verdana"/>
                <w:sz w:val="20"/>
                <w:szCs w:val="20"/>
              </w:rPr>
              <w:t>p</w:t>
            </w:r>
            <w:r w:rsidR="00E10006">
              <w:rPr>
                <w:rFonts w:ascii="Verdana" w:hAnsi="Verdana"/>
                <w:sz w:val="20"/>
                <w:szCs w:val="20"/>
              </w:rPr>
              <w:t>uede</w:t>
            </w:r>
            <w:r w:rsidRPr="00A37414">
              <w:rPr>
                <w:rFonts w:ascii="Verdana" w:hAnsi="Verdana"/>
                <w:sz w:val="20"/>
                <w:szCs w:val="20"/>
              </w:rPr>
              <w:t xml:space="preserve"> ser absorbida o combinada en otra clase?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Indecent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Exposure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Ten cuidado con las clases que innecesariamente exponen su interior.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Refactoriza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agresivamente las clases para minimizar la parte pública. Debes tener una razón para cada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item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que haces público. Sino lo tienes, escóndelo.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Feature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Envy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Métodos que hacen uso intensivo de otra clase quizás pertenezcan a otra clase. Co</w:t>
            </w:r>
            <w:r w:rsidR="00E10006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sidera mover este método a la clase a la cual le tiene envidia.</w:t>
            </w:r>
          </w:p>
        </w:tc>
      </w:tr>
      <w:tr w:rsidR="001A5A3C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A3C" w:rsidRPr="00A37414" w:rsidRDefault="00D34282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Speculative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Generality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A3C" w:rsidRPr="00A37414" w:rsidRDefault="00D34282" w:rsidP="00E10006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Escribe código para resolver los problemas </w:t>
            </w:r>
            <w:r w:rsidR="00E10006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que conoces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hoy y preocúpate de los problemas de mañana cuando se materialicen. Todo el mundo se pierde en el “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what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if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”. “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You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Aren't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Gonna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Need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It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" (</w:t>
            </w:r>
            <w:r w:rsidR="00E10006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Principio 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YAGNI)</w:t>
            </w:r>
          </w:p>
        </w:tc>
      </w:tr>
      <w:tr w:rsidR="007D7BB3" w:rsidRPr="00A37414" w:rsidTr="007D7BB3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D7BB3" w:rsidRPr="00A37414" w:rsidRDefault="007D7BB3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Divergent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Change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D7BB3" w:rsidRPr="00A37414" w:rsidRDefault="007D7BB3" w:rsidP="00A30B5D">
            <w:pPr>
              <w:spacing w:after="0" w:line="100" w:lineRule="atLeast"/>
              <w:jc w:val="both"/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Si, a través del tiempo, realizas cambios a una clase que toca</w:t>
            </w:r>
            <w:r w:rsidR="00A30B5D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completamente 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diferentes partes de la clase, quizás contenga mucha funcionalidad no relacionada. Considera aislar las partes que cambia</w:t>
            </w:r>
            <w:r w:rsidR="00A30B5D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n</w:t>
            </w: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en otra clase.</w:t>
            </w:r>
          </w:p>
        </w:tc>
      </w:tr>
      <w:tr w:rsidR="00B52725" w:rsidRPr="00A37414" w:rsidTr="00BD338F">
        <w:trPr>
          <w:trHeight w:val="641"/>
          <w:tblCellSpacing w:w="45" w:type="dxa"/>
        </w:trPr>
        <w:tc>
          <w:tcPr>
            <w:tcW w:w="2504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52725" w:rsidRPr="00A37414" w:rsidRDefault="00B52725" w:rsidP="00BD338F">
            <w:pPr>
              <w:spacing w:after="0" w:line="100" w:lineRule="atLeast"/>
              <w:jc w:val="both"/>
            </w:pP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Comments</w:t>
            </w:r>
            <w:proofErr w:type="spellEnd"/>
          </w:p>
        </w:tc>
        <w:tc>
          <w:tcPr>
            <w:tcW w:w="853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725" w:rsidRPr="00A37414" w:rsidRDefault="00B52725" w:rsidP="00BD338F">
            <w:pPr>
              <w:spacing w:after="0" w:line="100" w:lineRule="atLeast"/>
              <w:jc w:val="both"/>
            </w:pPr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Hay una delgada línea entre los comentarios que iluminan y los que oscurecen. ¿Los comentarios son innecesarios? ¿Explican el “por qué” y no el “qué”? ¿Puedes </w:t>
            </w:r>
            <w:proofErr w:type="spellStart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>refactorizar</w:t>
            </w:r>
            <w:proofErr w:type="spellEnd"/>
            <w:r w:rsidRPr="00A37414">
              <w:rPr>
                <w:rFonts w:ascii="Verdana" w:eastAsia="Times New Roman" w:hAnsi="Verdana" w:cs="Times New Roman"/>
                <w:sz w:val="20"/>
                <w:szCs w:val="18"/>
                <w:lang w:eastAsia="es-PE"/>
              </w:rPr>
              <w:t xml:space="preserve"> el código de forma que los comentarios no sean requeridos? Y recuerda, estás escribiendo comentarios para personas y no máquinas.</w:t>
            </w:r>
          </w:p>
        </w:tc>
      </w:tr>
    </w:tbl>
    <w:p w:rsidR="00E10006" w:rsidRDefault="00E10006">
      <w:pPr>
        <w:jc w:val="both"/>
      </w:pPr>
    </w:p>
    <w:p w:rsidR="001A5A3C" w:rsidRPr="00A37414" w:rsidRDefault="00BE5D7A">
      <w:pPr>
        <w:jc w:val="both"/>
      </w:pPr>
      <w:hyperlink r:id="rId5">
        <w:r w:rsidR="00D34282" w:rsidRPr="00A37414">
          <w:rPr>
            <w:rStyle w:val="InternetLink"/>
            <w:rFonts w:ascii="Verdana" w:hAnsi="Verdana"/>
            <w:color w:val="00000A"/>
            <w:sz w:val="18"/>
            <w:szCs w:val="18"/>
            <w:lang w:val="es-PE"/>
          </w:rPr>
          <w:t>www.codinghorror.com/blog/2006/05/code-smells.html</w:t>
        </w:r>
      </w:hyperlink>
    </w:p>
    <w:sectPr w:rsidR="001A5A3C" w:rsidRPr="00A37414">
      <w:pgSz w:w="12240" w:h="15840"/>
      <w:pgMar w:top="720" w:right="720" w:bottom="720" w:left="720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A5A3C"/>
    <w:rsid w:val="001A5A3C"/>
    <w:rsid w:val="00735CC0"/>
    <w:rsid w:val="007D7BB3"/>
    <w:rsid w:val="00A30B5D"/>
    <w:rsid w:val="00A37414"/>
    <w:rsid w:val="00B52725"/>
    <w:rsid w:val="00BE5D7A"/>
    <w:rsid w:val="00D34282"/>
    <w:rsid w:val="00E10006"/>
    <w:rsid w:val="00E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WenQuanYi Micro Hei" w:hAnsi="Calibri" w:cs="Calibri"/>
      <w:color w:val="00000A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inghorror.com/blog/2006/05/code-smell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13</cp:revision>
  <dcterms:created xsi:type="dcterms:W3CDTF">2012-10-31T22:54:00Z</dcterms:created>
  <dcterms:modified xsi:type="dcterms:W3CDTF">2013-06-03T08:40:00Z</dcterms:modified>
</cp:coreProperties>
</file>