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04" w:rsidRPr="00693A5F" w:rsidRDefault="00386911" w:rsidP="00693A5F">
      <w:pPr>
        <w:spacing w:after="0" w:line="300" w:lineRule="atLeast"/>
        <w:jc w:val="center"/>
        <w:rPr>
          <w:rFonts w:ascii="Verdana" w:eastAsia="Times New Roman" w:hAnsi="Verdana" w:cs="Calibri"/>
          <w:b/>
          <w:bCs/>
          <w:sz w:val="24"/>
          <w:szCs w:val="18"/>
          <w:lang w:eastAsia="es-PE"/>
        </w:rPr>
      </w:pPr>
      <w:proofErr w:type="spellStart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>Code</w:t>
      </w:r>
      <w:proofErr w:type="spellEnd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 xml:space="preserve"> </w:t>
      </w:r>
      <w:proofErr w:type="spellStart"/>
      <w:r w:rsidRPr="00693A5F">
        <w:rPr>
          <w:rFonts w:ascii="Verdana" w:eastAsia="Times New Roman" w:hAnsi="Verdana" w:cs="Calibri"/>
          <w:b/>
          <w:bCs/>
          <w:sz w:val="24"/>
          <w:szCs w:val="18"/>
          <w:lang w:eastAsia="es-PE"/>
        </w:rPr>
        <w:t>Smells</w:t>
      </w:r>
      <w:bookmarkStart w:id="0" w:name="_GoBack"/>
      <w:bookmarkEnd w:id="0"/>
      <w:proofErr w:type="spellEnd"/>
    </w:p>
    <w:p w:rsidR="00386911" w:rsidRPr="00CB5EA4" w:rsidRDefault="00386911" w:rsidP="00CB5EA4">
      <w:pPr>
        <w:spacing w:after="0" w:line="300" w:lineRule="atLeast"/>
        <w:jc w:val="both"/>
        <w:rPr>
          <w:rFonts w:ascii="Verdana" w:eastAsia="Times New Roman" w:hAnsi="Verdana" w:cs="Calibri"/>
          <w:b/>
          <w:bCs/>
          <w:sz w:val="18"/>
          <w:szCs w:val="18"/>
          <w:lang w:eastAsia="es-PE"/>
        </w:rPr>
      </w:pPr>
    </w:p>
    <w:tbl>
      <w:tblPr>
        <w:tblW w:w="10923" w:type="dxa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8"/>
        <w:gridCol w:w="8505"/>
      </w:tblGrid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  <w:tc>
          <w:tcPr>
            <w:tcW w:w="8370" w:type="dxa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All other things being equal, a shorter method is easier to read, easier to understand, and easier to troubleshoot.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long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into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smaller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can.</w:t>
            </w:r>
          </w:p>
        </w:tc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693A5F" w:rsidRDefault="00210F96" w:rsidP="00210F9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365804"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  <w:tc>
          <w:tcPr>
            <w:tcW w:w="8370" w:type="dxa"/>
            <w:hideMark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The more parameters a method has, the more complex it is. Limit the number of parameters you need in a given method, or use an object to combine the parameters.</w:t>
            </w:r>
          </w:p>
        </w:tc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  <w:tc>
          <w:tcPr>
            <w:tcW w:w="8370" w:type="dxa"/>
          </w:tcPr>
          <w:p w:rsidR="00365804" w:rsidRPr="00693A5F" w:rsidRDefault="00365804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you always see the same data hanging around together, maybe it belongs together. Consider rolling the related data up into a larger class.</w:t>
            </w:r>
          </w:p>
        </w:tc>
      </w:tr>
      <w:tr w:rsidR="00364EFB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4EFB" w:rsidRPr="00693A5F" w:rsidRDefault="00364EFB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  <w:tc>
          <w:tcPr>
            <w:tcW w:w="8370" w:type="dxa"/>
          </w:tcPr>
          <w:p w:rsidR="00364EFB" w:rsidRPr="00693A5F" w:rsidRDefault="00364EFB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Don't use a gaggle of primitive data type variables as a poor man's substitute for a class. If your data type is sufficiently complex, write a class to represent it.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you inherit from a class, but never use any of the inherited functionality, should you really be using inheritance?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This smell exists when the same switch statement (or a chain of "if…else if…else if" statement) is duplicated across a system. Such duplicated code reveals a lack of object-orientation and a missed opportunity to rely on the elegance of polymorphism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If, over time, you make changes to 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a class that touch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completely different parts of the class, it may contain too much unrelated functionality.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Consider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isolating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in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another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If a change in one class requires cascading changes in several related classes, consider refactoring so that the changes are limited to a single class.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Duplicated code is the bane of software development. Stamp out duplication whenever possible. You should always be on the lookout for more subtle cases of near-duplication, too.</w:t>
            </w:r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Classes should pull their weight. Every additional class increases the complexity of a project. If you have a class that isn't doing enough to pay for 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itself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, can it be collapsed or combined into another class?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Write code to solve today's problems, and worry about tomorrow's problems when they actually materialize. Everyone loses in the "what if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.."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school of design. “You Aren't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Gonna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 Need It" (YAGNI Principle)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 xml:space="preserve">Beware of classes that unnecessarily expose their internals. Aggressively refactor classes to minimize their public surface. You should have a compelling reason for every item you make public.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don't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hide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</w:pPr>
            <w:r w:rsidRPr="00693A5F">
              <w:rPr>
                <w:rFonts w:ascii="Verdana" w:eastAsia="Times New Roman" w:hAnsi="Verdana" w:cs="Times New Roman"/>
                <w:sz w:val="20"/>
                <w:szCs w:val="18"/>
                <w:lang w:val="en-US" w:eastAsia="es-PE"/>
              </w:rPr>
              <w:t>Methods that make extensive use of another class may belong in another class. Consider moving this method to the class it is so envious of.</w:t>
            </w:r>
          </w:p>
        </w:tc>
      </w:tr>
      <w:tr w:rsidR="00042102" w:rsidRPr="00693A5F" w:rsidTr="00693A5F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  <w:tc>
          <w:tcPr>
            <w:tcW w:w="8370" w:type="dxa"/>
          </w:tcPr>
          <w:p w:rsidR="00042102" w:rsidRPr="00693A5F" w:rsidRDefault="00042102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There's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a fine line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between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illuminate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obscure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. Are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necessary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? Do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explain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"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why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"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not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"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what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"</w:t>
            </w:r>
            <w:proofErr w:type="gram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?</w:t>
            </w:r>
            <w:proofErr w:type="gram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Can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so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the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aren't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required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? And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remember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you're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writing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for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people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, </w:t>
            </w:r>
            <w:proofErr w:type="spellStart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not</w:t>
            </w:r>
            <w:proofErr w:type="spellEnd"/>
            <w:r w:rsidRPr="00693A5F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machines.</w:t>
            </w:r>
          </w:p>
        </w:tc>
      </w:tr>
    </w:tbl>
    <w:p w:rsidR="00042102" w:rsidRDefault="00042102" w:rsidP="00CB5EA4">
      <w:pPr>
        <w:jc w:val="both"/>
      </w:pPr>
    </w:p>
    <w:p w:rsidR="00364EFB" w:rsidRPr="00CB5EA4" w:rsidRDefault="00693A5F" w:rsidP="00CB5EA4">
      <w:pPr>
        <w:jc w:val="both"/>
        <w:rPr>
          <w:rFonts w:ascii="Verdana" w:hAnsi="Verdana"/>
          <w:sz w:val="18"/>
          <w:szCs w:val="18"/>
          <w:u w:val="single"/>
        </w:rPr>
      </w:pPr>
      <w:hyperlink r:id="rId5" w:history="1">
        <w:r w:rsidR="00364EFB" w:rsidRPr="00CB5EA4">
          <w:rPr>
            <w:rStyle w:val="Hipervnculo"/>
            <w:rFonts w:ascii="Verdana" w:hAnsi="Verdana"/>
            <w:color w:val="auto"/>
            <w:sz w:val="18"/>
            <w:szCs w:val="18"/>
          </w:rPr>
          <w:t>www.codinghorror.com/blog/2006/05/code-smells.html</w:t>
        </w:r>
      </w:hyperlink>
    </w:p>
    <w:sectPr w:rsidR="00364EFB" w:rsidRPr="00CB5EA4" w:rsidSect="00233F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2A"/>
    <w:rsid w:val="00042102"/>
    <w:rsid w:val="000A362A"/>
    <w:rsid w:val="00210F96"/>
    <w:rsid w:val="00364EFB"/>
    <w:rsid w:val="00365804"/>
    <w:rsid w:val="00386911"/>
    <w:rsid w:val="003F32CF"/>
    <w:rsid w:val="004F3A2F"/>
    <w:rsid w:val="00693A5F"/>
    <w:rsid w:val="00A36833"/>
    <w:rsid w:val="00C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inghorror.com/blog/2006/05/code-sme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7</cp:revision>
  <dcterms:created xsi:type="dcterms:W3CDTF">2012-10-31T22:54:00Z</dcterms:created>
  <dcterms:modified xsi:type="dcterms:W3CDTF">2012-11-08T06:06:00Z</dcterms:modified>
</cp:coreProperties>
</file>