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b4a61fkjyvq" w:id="0"/>
      <w:bookmarkEnd w:id="0"/>
      <w:r w:rsidDel="00000000" w:rsidR="00000000" w:rsidRPr="00000000">
        <w:rPr>
          <w:rtl w:val="0"/>
        </w:rPr>
        <w:t xml:space="preserve">EXPERIMENTAL DESIGN &amp; METHODOLOGICAL PROTOCOL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: The Talent-Augmenting Layer (TAL) Pilot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Population</w:t>
      </w:r>
      <w:r w:rsidDel="00000000" w:rsidR="00000000" w:rsidRPr="00000000">
        <w:rPr>
          <w:rtl w:val="0"/>
        </w:rPr>
        <w:t xml:space="preserve">: Junior Knowledge Workers (Associates Level 1 &amp; 2)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8p31bu647" w:id="1"/>
      <w:bookmarkEnd w:id="1"/>
      <w:r w:rsidDel="00000000" w:rsidR="00000000" w:rsidRPr="00000000">
        <w:rPr>
          <w:rtl w:val="0"/>
        </w:rPr>
        <w:t xml:space="preserve">1. Executive Summary &amp; Scientific Rationale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uncalibrated integration of highly fluent Large Language Models (LLMs) into knowledge workflows yields short-term productivity gains at the expense of long-term cognitive retention - a phenomenon termed "deskilling" or "procedural atrophy." Junior staff exhibit high susceptibility to the "autopilot effect," passively accepting AI outputs and demonstrating automation bias.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experiment evaluates the Talent-Augmenting Layer (TAL), an architectural intervention designed to intercept human-AI interactions and dynamically calibrate assistance based on user expertise. By introducing "Cognitive Forcing Functions" (CFFs) and "Contrastive Explanations," TAL shifts the AI from a passive oracle to an active pedagogical coach. This study will utilise a Randomised Controlled Trial (RCT) framework to measure the causal impact of TAL on skill acquisition, epistemic vigilance, and critical evaluation capabilities relative to a standard, frictionless AI baseline.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jixt45yzc0wk" w:id="2"/>
      <w:bookmarkEnd w:id="2"/>
      <w:r w:rsidDel="00000000" w:rsidR="00000000" w:rsidRPr="00000000">
        <w:rPr>
          <w:rtl w:val="0"/>
        </w:rPr>
        <w:t xml:space="preserve">2. Study Objectives &amp; Hypotheses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ind w:left="465" w:hanging="360"/>
      </w:pPr>
      <w:r w:rsidDel="00000000" w:rsidR="00000000" w:rsidRPr="00000000">
        <w:rPr>
          <w:rtl w:val="0"/>
        </w:rPr>
        <w:t xml:space="preserve">Hypothesis 1 (H1 - Skill Retention): Participants utilising the TAL will demonstrate a statistically significant preservation or enhancement of unassisted domain expertise (measured via the Cold Start Refactor) compared to the control group experiencing procedural atrophy.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ind w:left="465" w:hanging="360"/>
      </w:pPr>
      <w:r w:rsidDel="00000000" w:rsidR="00000000" w:rsidRPr="00000000">
        <w:rPr>
          <w:rtl w:val="0"/>
        </w:rPr>
        <w:t xml:space="preserve">Hypothesis 2 (H2 - Epistemic Vigilance): TAL deployment will significantly reduce the Engagement Passive Ratio (</w:t>
      </w:r>
      <w:r w:rsidDel="00000000" w:rsidR="00000000" w:rsidRPr="00000000">
        <w:rPr/>
        <w:drawing>
          <wp:inline distB="19050" distT="19050" distL="19050" distR="19050">
            <wp:extent cx="575634" cy="228081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34" cy="228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) and increase accurate detection of logical fallacies (measured via Hallucination Trap Detection).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ind w:left="465" w:hanging="360"/>
      </w:pPr>
      <w:r w:rsidDel="00000000" w:rsidR="00000000" w:rsidRPr="00000000">
        <w:rPr>
          <w:rtl w:val="0"/>
        </w:rPr>
        <w:t xml:space="preserve">Hypothesis 3 (H3 - Metacognitive Calibration): TAL's contrastive explanations will actively correct optimism bias and the Dunning-Kruger effect, narrowing the delta between a worker's self-assessed competence and their empirically measured competence.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ind w:left="465" w:hanging="360"/>
      </w:pPr>
      <w:r w:rsidDel="00000000" w:rsidR="00000000" w:rsidRPr="00000000">
        <w:rPr>
          <w:rtl w:val="0"/>
        </w:rPr>
        <w:t xml:space="preserve">Hypothesis 4 (H4 - Friction Tolerance): The deployment of deep IDE integration (Track Alpha) will result in a lower "Toggle Off" activation rate and higher usability scores compared to the stateless wrapper application (Track Beta).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7j09tr8ze58k" w:id="3"/>
      <w:bookmarkEnd w:id="3"/>
      <w:r w:rsidDel="00000000" w:rsidR="00000000" w:rsidRPr="00000000">
        <w:rPr>
          <w:rtl w:val="0"/>
        </w:rPr>
        <w:t xml:space="preserve">3. Experimental Architecture &amp; Cohort Stratification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Vanguard Pilot employs a parallel-group, mixed-methods RCT with a dual-track treatment architecture to evaluate both efficacy and deployment viability.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ss9r1adbk8aq" w:id="4"/>
      <w:bookmarkEnd w:id="4"/>
      <w:r w:rsidDel="00000000" w:rsidR="00000000" w:rsidRPr="00000000">
        <w:rPr>
          <w:rtl w:val="0"/>
        </w:rPr>
        <w:t xml:space="preserve">3.1 Population &amp; Stratification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465" w:hanging="360"/>
      </w:pPr>
      <w:r w:rsidDel="00000000" w:rsidR="00000000" w:rsidRPr="00000000">
        <w:rPr>
          <w:rtl w:val="0"/>
        </w:rPr>
        <w:t xml:space="preserve">Sample Size: </w:t>
      </w:r>
      <w:r w:rsidDel="00000000" w:rsidR="00000000" w:rsidRPr="00000000">
        <w:rPr/>
        <w:drawing>
          <wp:inline distB="19050" distT="19050" distL="19050" distR="19050">
            <wp:extent cx="598289" cy="224358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289" cy="224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(Junior staff members: Associates Level 1 &amp; 2).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465" w:hanging="360"/>
      </w:pPr>
      <w:r w:rsidDel="00000000" w:rsidR="00000000" w:rsidRPr="00000000">
        <w:rPr>
          <w:rtl w:val="0"/>
        </w:rPr>
        <w:t xml:space="preserve">Recruitment: Volunteer-based sampling integrated into standard operational workflows to ensure baseline engagement.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465" w:hanging="360"/>
      </w:pPr>
      <w:commentRangeStart w:id="0"/>
      <w:r w:rsidDel="00000000" w:rsidR="00000000" w:rsidRPr="00000000">
        <w:rPr>
          <w:rtl w:val="0"/>
        </w:rPr>
        <w:t xml:space="preserve">Stratification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: Prior to randomization, participants will undergo a baseline AI literacy and domain expertise assessment to ensure balanced heterogeneity across control and treatment groups.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wh6fm9fosjgz" w:id="5"/>
      <w:bookmarkEnd w:id="5"/>
      <w:r w:rsidDel="00000000" w:rsidR="00000000" w:rsidRPr="00000000">
        <w:rPr>
          <w:rtl w:val="0"/>
        </w:rPr>
        <w:t xml:space="preserve">3.2 Cohort Allocation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465" w:hanging="360"/>
      </w:pPr>
      <w:r w:rsidDel="00000000" w:rsidR="00000000" w:rsidRPr="00000000">
        <w:rPr>
          <w:rtl w:val="0"/>
        </w:rPr>
        <w:t xml:space="preserve">Control Group (</w:t>
      </w:r>
      <w:r w:rsidDel="00000000" w:rsidR="00000000" w:rsidRPr="00000000">
        <w:rPr/>
        <w:drawing>
          <wp:inline distB="19050" distT="19050" distL="19050" distR="19050">
            <wp:extent cx="448634" cy="224317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34" cy="224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): Operates using standard, uncalibrated AI (Standard ChatGPT/Gemini).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465" w:hanging="360"/>
      </w:pPr>
      <w:r w:rsidDel="00000000" w:rsidR="00000000" w:rsidRPr="00000000">
        <w:rPr>
          <w:rtl w:val="0"/>
        </w:rPr>
        <w:t xml:space="preserve">Treatment Group (</w:t>
      </w:r>
      <w:r w:rsidDel="00000000" w:rsidR="00000000" w:rsidRPr="00000000">
        <w:rPr/>
        <w:drawing>
          <wp:inline distB="19050" distT="19050" distL="19050" distR="19050">
            <wp:extent cx="448634" cy="224317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34" cy="224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): Operates utilising the Talent-Augmenting Layer. To test integration efficacy, the treatment group undergoes a dual-track deployment: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870" w:hanging="360"/>
      </w:pPr>
      <w:r w:rsidDel="00000000" w:rsidR="00000000" w:rsidRPr="00000000">
        <w:rPr>
          <w:rtl w:val="0"/>
        </w:rPr>
        <w:t xml:space="preserve">Track Alpha (Deep Integration via Claude Code): n=3-4. Operates TAL as a Model Context Protocol (MCP) server embedded directly into the workspace. Tests the theoretical maximum of the architecture with stateful memory, continuous conversational tracking, and autonomous profile updating.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870" w:hanging="360"/>
      </w:pPr>
      <w:r w:rsidDel="00000000" w:rsidR="00000000" w:rsidRPr="00000000">
        <w:rPr>
          <w:rtl w:val="0"/>
        </w:rPr>
        <w:t xml:space="preserve">Track Beta (Stateless Wrapper via Gemini): n=3-4. Operates a decoupled architecture where users complete the web-based conversational assessment, generate a static markdown profile, and manually inject it as a custom system prompt into Gemini. Tests the baseline viability of the intervention under resource-constrained IT conditions.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"Toggle Off" Mechanism:</w:t>
      </w:r>
      <w:r w:rsidDel="00000000" w:rsidR="00000000" w:rsidRPr="00000000">
        <w:rPr>
          <w:color w:val="1f1f1f"/>
          <w:rtl w:val="0"/>
        </w:rPr>
        <w:t xml:space="preserve"> To respect the operational tempo of the business, the tool includes a "Toggle Off" feature. This permits users to temporarily disable the augmenting layer for tasks requiring pure short-term automation without a learning component (e.g., drafting a standard ISO policy).</w:t>
      </w:r>
    </w:p>
    <w:p w:rsidR="00000000" w:rsidDel="00000000" w:rsidP="00000000" w:rsidRDefault="00000000" w:rsidRPr="00000000" w14:paraId="0000001E">
      <w:pPr>
        <w:pStyle w:val="Heading3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/>
      </w:pPr>
      <w:bookmarkStart w:colFirst="0" w:colLast="0" w:name="_eweryvl4h5r" w:id="6"/>
      <w:bookmarkEnd w:id="6"/>
      <w:r w:rsidDel="00000000" w:rsidR="00000000" w:rsidRPr="00000000">
        <w:rPr>
          <w:rtl w:val="0"/>
        </w:rPr>
        <w:t xml:space="preserve">3.3 Measurement Instruments and Outcome Variables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ensure construct validity, the pilot employs a mixed-methods approach combining automated telemetry, psychometric surveys, and objective benchmarking.</w:t>
      </w:r>
    </w:p>
    <w:p w:rsidR="00000000" w:rsidDel="00000000" w:rsidP="00000000" w:rsidRDefault="00000000" w:rsidRPr="00000000" w14:paraId="00000020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bookmarkStart w:colFirst="0" w:colLast="0" w:name="_dgbp0o94vqaa" w:id="7"/>
      <w:bookmarkEnd w:id="7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.3.1 Automated Telemetry and the Passive Ratio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continuously measure user engagement without observer effects, the AI is explicitly instructed via its system prompt to output a machine-readable JSON log wrapped in </w:t>
      </w:r>
      <w:r w:rsidDel="00000000" w:rsidR="00000000" w:rsidRPr="00000000">
        <w:rPr>
          <w:color w:val="444746"/>
          <w:shd w:fill="e9eef6" w:val="clear"/>
          <w:rtl w:val="0"/>
        </w:rPr>
        <w:t xml:space="preserve">and</w:t>
      </w:r>
      <w:r w:rsidDel="00000000" w:rsidR="00000000" w:rsidRPr="00000000">
        <w:rPr>
          <w:color w:val="1f1f1f"/>
          <w:rtl w:val="0"/>
        </w:rPr>
        <w:t xml:space="preserve"> tags at the conclusion of every substantive session.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 Variables:</w:t>
      </w:r>
      <w:r w:rsidDel="00000000" w:rsidR="00000000" w:rsidRPr="00000000">
        <w:rPr>
          <w:color w:val="1f1f1f"/>
          <w:rtl w:val="0"/>
        </w:rPr>
        <w:t xml:space="preserve"> The telemetry captures five specific data points: </w:t>
      </w:r>
      <w:r w:rsidDel="00000000" w:rsidR="00000000" w:rsidRPr="00000000">
        <w:rPr>
          <w:color w:val="444746"/>
          <w:shd w:fill="e9eef6" w:val="clear"/>
          <w:rtl w:val="0"/>
        </w:rPr>
        <w:t xml:space="preserve">task_category</w:t>
      </w:r>
      <w:r w:rsidDel="00000000" w:rsidR="00000000" w:rsidRPr="00000000">
        <w:rPr>
          <w:color w:val="1f1f1f"/>
          <w:rtl w:val="0"/>
        </w:rPr>
        <w:t xml:space="preserve"> (automate/augment/coach/protect/hands_off), </w:t>
      </w:r>
      <w:r w:rsidDel="00000000" w:rsidR="00000000" w:rsidRPr="00000000">
        <w:rPr>
          <w:color w:val="444746"/>
          <w:shd w:fill="e9eef6" w:val="clear"/>
          <w:rtl w:val="0"/>
        </w:rPr>
        <w:t xml:space="preserve">domain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engagement_level</w:t>
      </w:r>
      <w:r w:rsidDel="00000000" w:rsidR="00000000" w:rsidRPr="00000000">
        <w:rPr>
          <w:color w:val="1f1f1f"/>
          <w:rtl w:val="0"/>
        </w:rPr>
        <w:t xml:space="preserve"> (passive/active/critical), </w:t>
      </w:r>
      <w:r w:rsidDel="00000000" w:rsidR="00000000" w:rsidRPr="00000000">
        <w:rPr>
          <w:color w:val="444746"/>
          <w:shd w:fill="e9eef6" w:val="clear"/>
          <w:rtl w:val="0"/>
        </w:rPr>
        <w:t xml:space="preserve">skill_signal</w:t>
      </w:r>
      <w:r w:rsidDel="00000000" w:rsidR="00000000" w:rsidRPr="00000000">
        <w:rPr>
          <w:color w:val="1f1f1f"/>
          <w:rtl w:val="0"/>
        </w:rPr>
        <w:t xml:space="preserve"> (growth/stable/atrophy/none), and a brief </w:t>
      </w:r>
      <w:r w:rsidDel="00000000" w:rsidR="00000000" w:rsidRPr="00000000">
        <w:rPr>
          <w:color w:val="444746"/>
          <w:shd w:fill="e9eef6" w:val="clear"/>
          <w:rtl w:val="0"/>
        </w:rPr>
        <w:t xml:space="preserve">notes</w:t>
      </w:r>
      <w:r w:rsidDel="00000000" w:rsidR="00000000" w:rsidRPr="00000000">
        <w:rPr>
          <w:color w:val="1f1f1f"/>
          <w:rtl w:val="0"/>
        </w:rPr>
        <w:t xml:space="preserve"> summary.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Engagement Passive Ratio ($R_{passive}$):</w:t>
      </w:r>
      <w:r w:rsidDel="00000000" w:rsidR="00000000" w:rsidRPr="00000000">
        <w:rPr>
          <w:color w:val="1f1f1f"/>
          <w:rtl w:val="0"/>
        </w:rPr>
        <w:t xml:space="preserve"> This metric tracks the frequency with which users uncritically accept AI outputs versus actively interrogating or modifying them.</w:t>
      </w:r>
    </w:p>
    <w:p w:rsidR="00000000" w:rsidDel="00000000" w:rsidP="00000000" w:rsidRDefault="00000000" w:rsidRPr="00000000" w14:paraId="0000002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bookmarkStart w:colFirst="0" w:colLast="0" w:name="_64g54ixrh19f" w:id="8"/>
      <w:bookmarkEnd w:id="8"/>
      <w:r w:rsidDel="00000000" w:rsidR="00000000" w:rsidRPr="00000000">
        <w:rPr>
          <w:rtl w:val="0"/>
        </w:rPr>
        <w:t xml:space="preserve">3.3.2 Unassisted Competence Benchmarking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definitively measure skill retention and conceptual comprehension, the trial integrates the Vibe-Check Protocol (VCP).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Cold Start Refactor ($M_{CSR}$):</w:t>
      </w:r>
      <w:r w:rsidDel="00000000" w:rsidR="00000000" w:rsidRPr="00000000">
        <w:rPr>
          <w:color w:val="1f1f1f"/>
          <w:rtl w:val="0"/>
        </w:rPr>
        <w:t xml:space="preserve"> Measures procedural skill decay by testing participants in a strictly unassisted environment.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Hallucination Trap Detection ($M_{HT}$):</w:t>
      </w:r>
      <w:r w:rsidDel="00000000" w:rsidR="00000000" w:rsidRPr="00000000">
        <w:rPr>
          <w:color w:val="1f1f1f"/>
          <w:rtl w:val="0"/>
        </w:rPr>
        <w:t xml:space="preserve"> Evaluates epistemic vigilance and error sensitivity using signal detection theory, tracking how well users spot introduced errors.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Explainability Gap ($E_{gap}$):</w:t>
      </w:r>
      <w:r w:rsidDel="00000000" w:rsidR="00000000" w:rsidRPr="00000000">
        <w:rPr>
          <w:color w:val="1f1f1f"/>
          <w:rtl w:val="0"/>
        </w:rPr>
        <w:t xml:space="preserve"> Quantifies the metacognitive disconnect between the complexity of the AI-generated work a user submits and their actual conceptual understanding of it.</w:t>
      </w:r>
    </w:p>
    <w:p w:rsidR="00000000" w:rsidDel="00000000" w:rsidP="00000000" w:rsidRDefault="00000000" w:rsidRPr="00000000" w14:paraId="0000002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bookmarkStart w:colFirst="0" w:colLast="0" w:name="_ulr6q92955wz" w:id="9"/>
      <w:bookmarkEnd w:id="9"/>
      <w:r w:rsidDel="00000000" w:rsidR="00000000" w:rsidRPr="00000000">
        <w:rPr>
          <w:rtl w:val="0"/>
        </w:rPr>
        <w:t xml:space="preserve">3.3.3 Self-Assessment Anti-Gaming Protocols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color w:val="1f1f1f"/>
          <w:rtl w:val="0"/>
        </w:rPr>
        <w:t xml:space="preserve">A known vulnerability in self-reported skills matrices is the Dunning-Kruger effect and optimism bias, wherein users inflate their capabilities (e.g., scoring "5" across all domains), which would bypass the system's intended friction. To ensure measurement robustness, the initial self-assessment will be algorithmically cross-referenced and corrected using peer assessments or an existing objective skills matrix.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clu4juntfgi7" w:id="10"/>
      <w:bookmarkEnd w:id="10"/>
      <w:r w:rsidDel="00000000" w:rsidR="00000000" w:rsidRPr="00000000">
        <w:rPr>
          <w:rtl w:val="0"/>
        </w:rPr>
        <w:t xml:space="preserve">4. Timeline and Procedure (The 21-Day Protocol)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kf7lek9xv0xb" w:id="11"/>
      <w:bookmarkEnd w:id="11"/>
      <w:r w:rsidDel="00000000" w:rsidR="00000000" w:rsidRPr="00000000">
        <w:rPr>
          <w:rtl w:val="0"/>
        </w:rPr>
        <w:t xml:space="preserve">Phase 1: Baseline Assessments (Days 1-2)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ind w:left="465" w:hanging="360"/>
      </w:pPr>
      <w:r w:rsidDel="00000000" w:rsidR="00000000" w:rsidRPr="00000000">
        <w:rPr>
          <w:rtl w:val="0"/>
        </w:rPr>
        <w:t xml:space="preserve">Initial Testing: Administration of the Talent Augmenting Assessment Questionnaire (TAAQ) to establish baseline AI Dependency Risk.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ind w:left="465" w:hanging="360"/>
      </w:pPr>
      <w:r w:rsidDel="00000000" w:rsidR="00000000" w:rsidRPr="00000000">
        <w:rPr>
          <w:rtl w:val="0"/>
        </w:rPr>
        <w:t xml:space="preserve">Baseline Vibe-Check: Administration of the initial Cold Start Refactor (</w:t>
      </w:r>
      <w:r w:rsidDel="00000000" w:rsidR="00000000" w:rsidRPr="00000000">
        <w:rPr/>
        <w:drawing>
          <wp:inline distB="19050" distT="19050" distL="19050" distR="19050">
            <wp:extent cx="458391" cy="223865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391" cy="223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) and Hallucination Trap (</w:t>
      </w:r>
      <w:r w:rsidDel="00000000" w:rsidR="00000000" w:rsidRPr="00000000">
        <w:rPr/>
        <w:drawing>
          <wp:inline distB="19050" distT="19050" distL="19050" distR="19050">
            <wp:extent cx="399025" cy="226474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25" cy="226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) tests to firmly establish unassisted competence for all participants (</w:t>
      </w:r>
      <w:r w:rsidDel="00000000" w:rsidR="00000000" w:rsidRPr="00000000">
        <w:rPr/>
        <w:drawing>
          <wp:inline distB="19050" distT="19050" distL="19050" distR="19050">
            <wp:extent cx="598289" cy="224358"/>
            <wp:effectExtent b="0" l="0" r="0" t="0"/>
            <wp:docPr id="2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289" cy="224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8uh83io34n9o" w:id="12"/>
      <w:bookmarkEnd w:id="12"/>
      <w:r w:rsidDel="00000000" w:rsidR="00000000" w:rsidRPr="00000000">
        <w:rPr>
          <w:rtl w:val="0"/>
        </w:rPr>
        <w:t xml:space="preserve">Phase 2: Treatment Intervention &amp; Telemetry (Days 3-21)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ind w:left="465" w:hanging="360"/>
      </w:pPr>
      <w:r w:rsidDel="00000000" w:rsidR="00000000" w:rsidRPr="00000000">
        <w:rPr>
          <w:rtl w:val="0"/>
        </w:rPr>
        <w:t xml:space="preserve">Deployment: Treatment Group (</w:t>
      </w:r>
      <w:r w:rsidDel="00000000" w:rsidR="00000000" w:rsidRPr="00000000">
        <w:rPr/>
        <w:drawing>
          <wp:inline distB="19050" distT="19050" distL="19050" distR="19050">
            <wp:extent cx="448634" cy="224317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34" cy="224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) immediately begins utilising TAL profiles with dynamic task triage. Control Group (</w:t>
      </w:r>
      <w:r w:rsidDel="00000000" w:rsidR="00000000" w:rsidRPr="00000000">
        <w:rPr/>
        <w:drawing>
          <wp:inline distB="19050" distT="19050" distL="19050" distR="19050">
            <wp:extent cx="448634" cy="224317"/>
            <wp:effectExtent b="0" l="0" r="0" t="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34" cy="224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) begins logged usage of standard AI.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ind w:left="465" w:hanging="360"/>
      </w:pPr>
      <w:r w:rsidDel="00000000" w:rsidR="00000000" w:rsidRPr="00000000">
        <w:rPr>
          <w:rtl w:val="0"/>
        </w:rPr>
        <w:t xml:space="preserve">Continuous Logging: The automated Drive Sync Scheduler captures daily JSON interaction logs (</w:t>
      </w:r>
      <w:r w:rsidDel="00000000" w:rsidR="00000000" w:rsidRPr="00000000">
        <w:rPr/>
        <w:drawing>
          <wp:inline distB="19050" distT="19050" distL="19050" distR="19050">
            <wp:extent cx="575634" cy="228081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34" cy="228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) for both groups simultaneously across the 19-day intervention window.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ind w:left="465" w:hanging="360"/>
      </w:pPr>
      <w:r w:rsidDel="00000000" w:rsidR="00000000" w:rsidRPr="00000000">
        <w:rPr>
          <w:rtl w:val="0"/>
        </w:rPr>
        <w:t xml:space="preserve">Day 12 (Mid-Point Check): Administration of a modified NASA-TLX survey to measure subjective workload, cognitive friction, and frustration levels.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tidle5dm2f3o" w:id="13"/>
      <w:bookmarkEnd w:id="13"/>
      <w:r w:rsidDel="00000000" w:rsidR="00000000" w:rsidRPr="00000000">
        <w:rPr>
          <w:rtl w:val="0"/>
        </w:rPr>
        <w:t xml:space="preserve">Phase 3: Synthesis &amp; Post-Intervention Assessment (Day 22)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465" w:hanging="360"/>
      </w:pPr>
      <w:r w:rsidDel="00000000" w:rsidR="00000000" w:rsidRPr="00000000">
        <w:rPr>
          <w:rtl w:val="0"/>
        </w:rPr>
        <w:t xml:space="preserve">Unassisted Testing: Re-administration of the Cold Start Refactor (</w:t>
      </w:r>
      <w:r w:rsidDel="00000000" w:rsidR="00000000" w:rsidRPr="00000000">
        <w:rPr/>
        <w:drawing>
          <wp:inline distB="19050" distT="19050" distL="19050" distR="19050">
            <wp:extent cx="458391" cy="223865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391" cy="223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) to isolate genuine capability from the tool's presence.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465" w:hanging="360"/>
      </w:pPr>
      <w:r w:rsidDel="00000000" w:rsidR="00000000" w:rsidRPr="00000000">
        <w:rPr>
          <w:rtl w:val="0"/>
        </w:rPr>
        <w:t xml:space="preserve">Metacognitive Debrief: Execution of the Explainability Gap (</w:t>
      </w:r>
      <w:r w:rsidDel="00000000" w:rsidR="00000000" w:rsidRPr="00000000">
        <w:rPr/>
        <w:drawing>
          <wp:inline distB="19050" distT="19050" distL="19050" distR="19050">
            <wp:extent cx="344785" cy="22626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785" cy="226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) assessment.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465" w:hanging="360"/>
      </w:pPr>
      <w:r w:rsidDel="00000000" w:rsidR="00000000" w:rsidRPr="00000000">
        <w:rPr>
          <w:rtl w:val="0"/>
        </w:rPr>
        <w:t xml:space="preserve">Blind Managerial Review: Cross-comparison of a Week 1 work product versus a Week 3 work product on similar tasks by blinded senior management to evaluate final output quality and analytical depth.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kyyf81y67fb5" w:id="14"/>
      <w:bookmarkEnd w:id="14"/>
      <w:r w:rsidDel="00000000" w:rsidR="00000000" w:rsidRPr="00000000">
        <w:rPr>
          <w:rtl w:val="0"/>
        </w:rPr>
        <w:t xml:space="preserve">5. Definition &amp; Operationalisation of Outcome Variables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yebq6ip43yhe" w:id="15"/>
      <w:bookmarkEnd w:id="15"/>
      <w:r w:rsidDel="00000000" w:rsidR="00000000" w:rsidRPr="00000000">
        <w:rPr>
          <w:rtl w:val="0"/>
        </w:rPr>
        <w:t xml:space="preserve">5.1 Primary: Skill Retention &amp; Procedural Atrophy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ind w:left="465" w:hanging="360"/>
      </w:pPr>
      <w:r w:rsidDel="00000000" w:rsidR="00000000" w:rsidRPr="00000000">
        <w:rPr>
          <w:rtl w:val="0"/>
        </w:rPr>
        <w:t xml:space="preserve">Metric: Cold Start Refactor (</w:t>
      </w:r>
      <w:r w:rsidDel="00000000" w:rsidR="00000000" w:rsidRPr="00000000">
        <w:rPr/>
        <w:drawing>
          <wp:inline distB="19050" distT="19050" distL="19050" distR="19050">
            <wp:extent cx="458391" cy="223865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391" cy="223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ind w:left="465" w:hanging="360"/>
      </w:pPr>
      <w:r w:rsidDel="00000000" w:rsidR="00000000" w:rsidRPr="00000000">
        <w:rPr>
          <w:rtl w:val="0"/>
        </w:rPr>
        <w:t xml:space="preserve">Operationalisation: Participants are placed in a strictly unassisted environment (AI access revoked) to complete a complex domain task. The performance delta between Week 0 and Week 3 isolates the causal impact of AI on intrinsic human capability. A negative delta confirms deskilling; a positive delta confirms human uplift.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5nwkjq5q3buu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pyu73an966gl" w:id="17"/>
      <w:bookmarkEnd w:id="17"/>
      <w:r w:rsidDel="00000000" w:rsidR="00000000" w:rsidRPr="00000000">
        <w:rPr>
          <w:rtl w:val="0"/>
        </w:rPr>
        <w:t xml:space="preserve">5.2 Secondary: Critical Engagement &amp; Automation Bias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465" w:hanging="360"/>
      </w:pPr>
      <w:r w:rsidDel="00000000" w:rsidR="00000000" w:rsidRPr="00000000">
        <w:rPr>
          <w:rtl w:val="0"/>
        </w:rPr>
        <w:t xml:space="preserve">Metric A: Engagement Passive Ratio (</w:t>
      </w:r>
      <w:r w:rsidDel="00000000" w:rsidR="00000000" w:rsidRPr="00000000">
        <w:rPr/>
        <w:drawing>
          <wp:inline distB="19050" distT="19050" distL="19050" distR="19050">
            <wp:extent cx="575634" cy="228081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34" cy="228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ind w:left="870" w:hanging="360"/>
      </w:pPr>
      <w:r w:rsidDel="00000000" w:rsidR="00000000" w:rsidRPr="00000000">
        <w:rPr>
          <w:rtl w:val="0"/>
        </w:rPr>
        <w:t xml:space="preserve">Formula: </w:t>
      </w:r>
      <w:r w:rsidDel="00000000" w:rsidR="00000000" w:rsidRPr="00000000">
        <w:rPr/>
        <w:drawing>
          <wp:inline distB="19050" distT="19050" distL="19050" distR="19050">
            <wp:extent cx="4259789" cy="22252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9789" cy="222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ind w:left="870" w:hanging="360"/>
      </w:pPr>
      <w:r w:rsidDel="00000000" w:rsidR="00000000" w:rsidRPr="00000000">
        <w:rPr>
          <w:rtl w:val="0"/>
        </w:rPr>
        <w:t xml:space="preserve">Operationalisation: Extracted via automated telemetry. Measures the proportion of times a user accepts AI output without critical editing or debate.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465" w:hanging="360"/>
      </w:pPr>
      <w:r w:rsidDel="00000000" w:rsidR="00000000" w:rsidRPr="00000000">
        <w:rPr>
          <w:rtl w:val="0"/>
        </w:rPr>
        <w:t xml:space="preserve">Metric B: Hallucination Trap Detection (</w:t>
      </w:r>
      <w:r w:rsidDel="00000000" w:rsidR="00000000" w:rsidRPr="00000000">
        <w:rPr/>
        <w:drawing>
          <wp:inline distB="19050" distT="19050" distL="19050" distR="19050">
            <wp:extent cx="399025" cy="226474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25" cy="226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ind w:left="870" w:hanging="360"/>
      </w:pPr>
      <w:r w:rsidDel="00000000" w:rsidR="00000000" w:rsidRPr="00000000">
        <w:rPr>
          <w:rtl w:val="0"/>
        </w:rPr>
        <w:t xml:space="preserve">Operationalisation: Grounded in Signal Detection Theory. Participants review AI-generated documents containing strategically embedded logical fallacies. Scores are calculated based on the ratio of 'hits' (errors caught) to 'false alarms' (correct information erroneously altered).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fj7ku02y0pm4" w:id="18"/>
      <w:bookmarkEnd w:id="18"/>
      <w:r w:rsidDel="00000000" w:rsidR="00000000" w:rsidRPr="00000000">
        <w:rPr>
          <w:rtl w:val="0"/>
        </w:rPr>
        <w:t xml:space="preserve">5.3 Tertiary: Cognitive Friction &amp; Usability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465" w:hanging="360"/>
      </w:pPr>
      <w:r w:rsidDel="00000000" w:rsidR="00000000" w:rsidRPr="00000000">
        <w:rPr>
          <w:rtl w:val="0"/>
        </w:rPr>
        <w:t xml:space="preserve">Metric A: Subjective Workload (NASA-TLX)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465" w:hanging="360"/>
      </w:pPr>
      <w:r w:rsidDel="00000000" w:rsidR="00000000" w:rsidRPr="00000000">
        <w:rPr>
          <w:rtl w:val="0"/>
        </w:rPr>
        <w:t xml:space="preserve">Metric B: The "Toggle Off" Activation Rate</w:t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ind w:left="870" w:hanging="360"/>
      </w:pPr>
      <w:r w:rsidDel="00000000" w:rsidR="00000000" w:rsidRPr="00000000">
        <w:rPr>
          <w:rtl w:val="0"/>
        </w:rPr>
        <w:t xml:space="preserve">Operationalisation: Tracks how frequently users actively bypass the pedagogical layer (e.g., for short-term automation tasks like ISO policy drafting). A high toggle-off rate indicates poorly calibrated friction exceeding operational tempo thresholds.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3j8y2go0a6cc" w:id="19"/>
      <w:bookmarkEnd w:id="19"/>
      <w:r w:rsidDel="00000000" w:rsidR="00000000" w:rsidRPr="00000000">
        <w:rPr>
          <w:rtl w:val="0"/>
        </w:rPr>
        <w:t xml:space="preserve">5.4 Quaternary: Metacognitive Calibration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465" w:hanging="360"/>
      </w:pPr>
      <w:r w:rsidDel="00000000" w:rsidR="00000000" w:rsidRPr="00000000">
        <w:rPr>
          <w:rtl w:val="0"/>
        </w:rPr>
        <w:t xml:space="preserve">Metric: The Explainability Gap (</w:t>
      </w:r>
      <w:r w:rsidDel="00000000" w:rsidR="00000000" w:rsidRPr="00000000">
        <w:rPr/>
        <w:drawing>
          <wp:inline distB="19050" distT="19050" distL="19050" distR="19050">
            <wp:extent cx="344785" cy="22626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785" cy="226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) &amp; Bias Correction Delta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465" w:hanging="360"/>
      </w:pPr>
      <w:r w:rsidDel="00000000" w:rsidR="00000000" w:rsidRPr="00000000">
        <w:rPr>
          <w:rtl w:val="0"/>
        </w:rPr>
        <w:t xml:space="preserve">Operationalisation: Measures the disconnect between the complexity of a user's AI-assisted output and their underlying conceptual comprehension (assessed via verbal debriefing). The system cross-references the initial self-reported skills matrix against objective Vibe-Check scores to quantify the reduction in Optimism Bias and the Dunning-Kruger effect over time.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a8unaynft5bi" w:id="20"/>
      <w:bookmarkEnd w:id="20"/>
      <w:r w:rsidDel="00000000" w:rsidR="00000000" w:rsidRPr="00000000">
        <w:rPr>
          <w:rtl w:val="0"/>
        </w:rPr>
        <w:t xml:space="preserve">6. Data Infrastructure &amp; Compliance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To eliminate observer bias and manually review bottlenecks, data will be collected via an asynchronous Python scheduler (hosted/scheduler.py).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ind w:left="480" w:hanging="360"/>
      </w:pPr>
      <w:r w:rsidDel="00000000" w:rsidR="00000000" w:rsidRPr="00000000">
        <w:rPr>
          <w:rtl w:val="0"/>
        </w:rPr>
        <w:t xml:space="preserve">JSON Payload Enclosure: System prompts are engineered to output categorical telemetry (task category, domain, engagement level, skill signal) enclosed in [LOG_START] and [LOG_END] tags.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ind w:left="480" w:hanging="360"/>
      </w:pPr>
      <w:r w:rsidDel="00000000" w:rsidR="00000000" w:rsidRPr="00000000">
        <w:rPr>
          <w:rtl w:val="0"/>
        </w:rPr>
        <w:t xml:space="preserve">Drive Synchronisation: Transcripts are exported by users to a secured, shared "Vanguard Pilot Transcripts" Google Drive folder.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ind w:left="480" w:hanging="360"/>
      </w:pPr>
      <w:r w:rsidDel="00000000" w:rsidR="00000000" w:rsidRPr="00000000">
        <w:rPr>
          <w:rtl w:val="0"/>
        </w:rPr>
        <w:t xml:space="preserve">Automated Extraction: A daily CRON job (02:00 UTC) authenticates via Google Cloud Service Account, parses new documents, extracts the JSON, and populates the interaction_logs relational database.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ind w:left="480" w:hanging="360"/>
      </w:pPr>
      <w:r w:rsidDel="00000000" w:rsidR="00000000" w:rsidRPr="00000000">
        <w:rPr>
          <w:rtl w:val="0"/>
        </w:rPr>
        <w:t xml:space="preserve">Compliance: Data is anonymised via randomised document ID indexing to meet Data Protection Impact Assessment (DPIA) standards.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8tb9kuaekdwl" w:id="21"/>
      <w:bookmarkEnd w:id="21"/>
      <w:r w:rsidDel="00000000" w:rsidR="00000000" w:rsidRPr="00000000">
        <w:rPr>
          <w:rtl w:val="0"/>
        </w:rPr>
        <w:t xml:space="preserve">7. Threats to Internal Validity &amp; Scientific Mitigation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Applying classical RCT methods to frontier AI systems poses unique epistemological threats. The protocol includes strict countermeasures: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Validity Threat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Definition in Context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Mitigation Strategy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Intervention Fidelity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Unannounced model updates/safety filter shifts alter treatment during the trial.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Utilisation of version-pinned API calls (e.g., locking to specific model snapshots).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Contamination &amp; Spillovers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 group accessing TAL, or Treatment group using un-prompted ChatGPT to bypass friction.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Provision of the "Toggle Off" feature to reduce shadow IT usage; network-level monitoring where applicable; instrumental variable analysis for non-compliance.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Expectancy Effects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 conflate the fluency of AI output with their own competence.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Utilisation of the strictly unassisted Cold Start Refactor (</w:t>
            </w:r>
            <w:r w:rsidDel="00000000" w:rsidR="00000000" w:rsidRPr="00000000">
              <w:rPr/>
              <w:drawing>
                <wp:inline distB="19050" distT="19050" distL="19050" distR="19050">
                  <wp:extent cx="458391" cy="223865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391" cy="2238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) to isolate human capability.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Shifting Baselines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"status quo" of technological capability evolves mid-study.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Utilisation of the FACT (Fundamental, Applied, Conceptual, Critical Thinking) framework to anchor longitudinal data against static domain truths.</w:t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9p7l97m37x5y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5vyhifbzgjnx" w:id="23"/>
      <w:bookmarkEnd w:id="23"/>
      <w:r w:rsidDel="00000000" w:rsidR="00000000" w:rsidRPr="00000000">
        <w:rPr>
          <w:rtl w:val="0"/>
        </w:rPr>
        <w:t xml:space="preserve">8. Statistical Analysis Plan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480" w:hanging="360"/>
      </w:pPr>
      <w:r w:rsidDel="00000000" w:rsidR="00000000" w:rsidRPr="00000000">
        <w:rPr>
          <w:rtl w:val="0"/>
        </w:rPr>
        <w:t xml:space="preserve">ANCOVA (Analysis of Covariance): Because the protocol prioritises a maximised 19-day treatment window over a prolonged telemetry baseline, we will rely on a between-subjects design utilising ANCOVA. The Day 1-2 baseline assessment scores (</w:t>
      </w:r>
      <w:r w:rsidDel="00000000" w:rsidR="00000000" w:rsidRPr="00000000">
        <w:rPr/>
        <w:drawing>
          <wp:inline distB="19050" distT="19050" distL="19050" distR="19050">
            <wp:extent cx="458391" cy="22386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391" cy="223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/>
        <w:drawing>
          <wp:inline distB="19050" distT="19050" distL="19050" distR="19050">
            <wp:extent cx="399025" cy="226474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25" cy="226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TAAQ) will serve as covariates to control for individual-level variance in baseline AI literacy and domain expertise when analysing the final outcomes.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480" w:hanging="360"/>
      </w:pPr>
      <w:r w:rsidDel="00000000" w:rsidR="00000000" w:rsidRPr="00000000">
        <w:rPr>
          <w:rtl w:val="0"/>
        </w:rPr>
        <w:t xml:space="preserve">Correlational Analysis: Testing the predictive validity of the passive ratio. We hypothesise that a high </w:t>
      </w:r>
      <w:r w:rsidDel="00000000" w:rsidR="00000000" w:rsidRPr="00000000">
        <w:rPr/>
        <w:drawing>
          <wp:inline distB="19050" distT="19050" distL="19050" distR="19050">
            <wp:extent cx="575634" cy="228081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34" cy="228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logged during Days 3-21 will strongly, negatively predict performance on the terminal Explainability Gap (</w:t>
      </w:r>
      <w:r w:rsidDel="00000000" w:rsidR="00000000" w:rsidRPr="00000000">
        <w:rPr/>
        <w:drawing>
          <wp:inline distB="19050" distT="19050" distL="19050" distR="19050">
            <wp:extent cx="344785" cy="226265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785" cy="226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) assessments.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480" w:hanging="360"/>
      </w:pPr>
      <w:r w:rsidDel="00000000" w:rsidR="00000000" w:rsidRPr="00000000">
        <w:rPr>
          <w:rtl w:val="0"/>
        </w:rPr>
        <w:t xml:space="preserve">Intent-to-Treat (ITT) &amp; Instrumental Variables: To adjust for non-compliance (e.g., excessive use of the "Toggle Off" feature) and participant attrition without breaking randomisation integrity.</w:t>
      </w:r>
    </w:p>
    <w:sectPr>
      <w:head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gelo Leone" w:id="0" w:date="2026-03-18T21:59:28Z"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difficult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line="275.9999942779541" w:lineRule="auto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png"/><Relationship Id="rId15" Type="http://schemas.openxmlformats.org/officeDocument/2006/relationships/header" Target="header1.xml"/><Relationship Id="rId14" Type="http://schemas.openxmlformats.org/officeDocument/2006/relationships/image" Target="media/image4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8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