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afafa" w:val="clear"/>
        <w:spacing w:before="720" w:lineRule="auto"/>
        <w:rPr/>
      </w:pPr>
      <w:r w:rsidDel="00000000" w:rsidR="00000000" w:rsidRPr="00000000">
        <w:rPr>
          <w:b w:val="1"/>
          <w:color w:val="4d4d4d"/>
          <w:sz w:val="27"/>
          <w:szCs w:val="27"/>
          <w:rtl w:val="0"/>
        </w:rPr>
        <w:t xml:space="preserve">Executive summary</w:t>
      </w:r>
      <w:r w:rsidDel="00000000" w:rsidR="00000000" w:rsidRPr="00000000">
        <w:rPr>
          <w:color w:val="4d4d4d"/>
          <w:sz w:val="27"/>
          <w:szCs w:val="27"/>
          <w:rtl w:val="0"/>
        </w:rPr>
        <w:t xml:space="preserve"> </w:t>
      </w:r>
      <w:r w:rsidDel="00000000" w:rsidR="00000000" w:rsidRPr="00000000">
        <w:rPr>
          <w:color w:val="dc043b"/>
          <w:sz w:val="27"/>
          <w:szCs w:val="27"/>
          <w:rtl w:val="0"/>
        </w:rPr>
        <w:t xml:space="preserve">* This project aims to bridge this gap by leveraging the capabilities of artificial intelligence (AI) to enhance the delivery of our design thinking curriculum for youth social entrepreneurship. We aim to equip underestimated youth with the power of AI in their design of social ventures to address community challenges.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