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AID-ea_4.1.3.1</w:t>
      </w:r>
    </w:p>
    <w:p>
      <w:pPr>
        <w:spacing w:before="0" w:after="400"/>
        <w:jc w:val="center"/>
      </w:pPr>
      <w:r>
        <w:rPr>
          <w:rFonts w:ascii="Arial" w:hAnsi="Arial"/>
          <w:b/>
          <w:i w:val="0"/>
          <w:color w:val="163258"/>
          <w:sz w:val="40"/>
        </w:rPr>
        <w:t>Schwerpunkt: Projektleitung, Projektsanierung, Scrum Master, Product Owner, Testmanagement, Testkoordination, Businessanalyse, Requirement Engineering</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AID-ea_4.1.3.1</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1964</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01.04.21 zu 100%, Vor-Ort-Einsatz 40%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D6 im Umkreis von: Frankfurt am Main (20 km)</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Projektleitung</w:t>
      </w:r>
    </w:p>
    <w:p>
      <w:pPr>
        <w:keepNext/>
        <w:spacing w:after="80"/>
        <w:ind w:left="170"/>
      </w:pPr>
      <w:r>
        <w:rPr>
          <w:rFonts w:ascii="Arial" w:hAnsi="Arial"/>
          <w:color w:val="163258"/>
          <w:sz w:val="24"/>
        </w:rPr>
        <w:t xml:space="preserve">• </w:t>
      </w:r>
      <w:r>
        <w:rPr>
          <w:rFonts w:ascii="Arial" w:hAnsi="Arial"/>
          <w:b w:val="0"/>
          <w:i w:val="0"/>
          <w:color w:val="163258"/>
          <w:sz w:val="20"/>
        </w:rPr>
        <w:t>Projektsanierung</w:t>
      </w:r>
    </w:p>
    <w:p>
      <w:pPr>
        <w:keepNext/>
        <w:spacing w:after="80"/>
        <w:ind w:left="170"/>
      </w:pPr>
      <w:r>
        <w:rPr>
          <w:rFonts w:ascii="Arial" w:hAnsi="Arial"/>
          <w:color w:val="163258"/>
          <w:sz w:val="24"/>
        </w:rPr>
        <w:t xml:space="preserve">• </w:t>
      </w:r>
      <w:r>
        <w:rPr>
          <w:rFonts w:ascii="Arial" w:hAnsi="Arial"/>
          <w:b w:val="0"/>
          <w:i w:val="0"/>
          <w:color w:val="163258"/>
          <w:sz w:val="20"/>
        </w:rPr>
        <w:t>Scrum Master</w:t>
      </w:r>
    </w:p>
    <w:p>
      <w:pPr>
        <w:keepNext/>
        <w:spacing w:after="80"/>
        <w:ind w:left="170"/>
      </w:pPr>
      <w:r>
        <w:rPr>
          <w:rFonts w:ascii="Arial" w:hAnsi="Arial"/>
          <w:color w:val="163258"/>
          <w:sz w:val="24"/>
        </w:rPr>
        <w:t xml:space="preserve">• </w:t>
      </w:r>
      <w:r>
        <w:rPr>
          <w:rFonts w:ascii="Arial" w:hAnsi="Arial"/>
          <w:b w:val="0"/>
          <w:i w:val="0"/>
          <w:color w:val="163258"/>
          <w:sz w:val="20"/>
        </w:rPr>
        <w:t>Product Owner</w:t>
      </w:r>
    </w:p>
    <w:p>
      <w:pPr>
        <w:keepNext/>
        <w:spacing w:after="80"/>
        <w:ind w:left="170"/>
      </w:pPr>
      <w:r>
        <w:rPr>
          <w:rFonts w:ascii="Arial" w:hAnsi="Arial"/>
          <w:color w:val="163258"/>
          <w:sz w:val="24"/>
        </w:rPr>
        <w:t xml:space="preserve">• </w:t>
      </w:r>
      <w:r>
        <w:rPr>
          <w:rFonts w:ascii="Arial" w:hAnsi="Arial"/>
          <w:b w:val="0"/>
          <w:i w:val="0"/>
          <w:color w:val="163258"/>
          <w:sz w:val="20"/>
        </w:rPr>
        <w:t>Testmanagement</w:t>
      </w:r>
    </w:p>
    <w:p>
      <w:pPr>
        <w:keepNext/>
        <w:spacing w:after="80"/>
        <w:ind w:left="170"/>
      </w:pPr>
      <w:r>
        <w:rPr>
          <w:rFonts w:ascii="Arial" w:hAnsi="Arial"/>
          <w:color w:val="163258"/>
          <w:sz w:val="24"/>
        </w:rPr>
        <w:t xml:space="preserve">• </w:t>
      </w:r>
      <w:r>
        <w:rPr>
          <w:rFonts w:ascii="Arial" w:hAnsi="Arial"/>
          <w:b w:val="0"/>
          <w:i w:val="0"/>
          <w:color w:val="163258"/>
          <w:sz w:val="20"/>
        </w:rPr>
        <w:t>Testkoordination</w:t>
      </w:r>
    </w:p>
    <w:p>
      <w:pPr>
        <w:keepNext/>
        <w:spacing w:after="80"/>
        <w:ind w:left="170"/>
      </w:pPr>
      <w:r>
        <w:rPr>
          <w:rFonts w:ascii="Arial" w:hAnsi="Arial"/>
          <w:color w:val="163258"/>
          <w:sz w:val="24"/>
        </w:rPr>
        <w:t xml:space="preserve">• </w:t>
      </w:r>
      <w:r>
        <w:rPr>
          <w:rFonts w:ascii="Arial" w:hAnsi="Arial"/>
          <w:b w:val="0"/>
          <w:i w:val="0"/>
          <w:color w:val="163258"/>
          <w:sz w:val="20"/>
        </w:rPr>
        <w:t>Businessanalyse</w:t>
      </w:r>
    </w:p>
    <w:p>
      <w:pPr>
        <w:keepNext/>
        <w:spacing w:after="80"/>
        <w:ind w:left="170"/>
      </w:pPr>
      <w:r>
        <w:rPr>
          <w:rFonts w:ascii="Arial" w:hAnsi="Arial"/>
          <w:color w:val="163258"/>
          <w:sz w:val="24"/>
        </w:rPr>
        <w:t xml:space="preserve">• </w:t>
      </w:r>
      <w:r>
        <w:rPr>
          <w:rFonts w:ascii="Arial" w:hAnsi="Arial"/>
          <w:b w:val="0"/>
          <w:i w:val="0"/>
          <w:color w:val="163258"/>
          <w:sz w:val="20"/>
        </w:rPr>
        <w:t>Requirement Engineering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Qualitätsmanagement / Qualitätssicherung / Test Breites Spektrum an Erfahrungen, von der Entwicklung über Business Analyse, Testmangement bis</w:t>
      </w:r>
    </w:p>
    <w:p>
      <w:pPr>
        <w:keepNext/>
        <w:spacing w:after="80"/>
        <w:ind w:left="170"/>
      </w:pPr>
      <w:r>
        <w:rPr>
          <w:rFonts w:ascii="Arial" w:hAnsi="Arial"/>
          <w:color w:val="163258"/>
          <w:sz w:val="24"/>
        </w:rPr>
        <w:t xml:space="preserve">• </w:t>
      </w:r>
      <w:r>
        <w:rPr>
          <w:rFonts w:ascii="Arial" w:hAnsi="Arial"/>
          <w:b w:val="0"/>
          <w:i w:val="0"/>
          <w:color w:val="163258"/>
          <w:sz w:val="20"/>
        </w:rPr>
        <w:t>Projektsanierung).</w:t>
      </w:r>
    </w:p>
    <w:p>
      <w:pPr>
        <w:keepNext/>
        <w:spacing w:after="80"/>
        <w:ind w:left="170"/>
      </w:pPr>
      <w:r>
        <w:rPr>
          <w:rFonts w:ascii="Arial" w:hAnsi="Arial"/>
          <w:color w:val="163258"/>
          <w:sz w:val="24"/>
        </w:rPr>
        <w:t xml:space="preserve">• </w:t>
      </w:r>
      <w:r>
        <w:rPr>
          <w:rFonts w:ascii="Arial" w:hAnsi="Arial"/>
          <w:b w:val="0"/>
          <w:i w:val="0"/>
          <w:color w:val="163258"/>
          <w:sz w:val="20"/>
        </w:rPr>
        <w:t>Weiterhin stets neugierig, engagiert und mit schneller Auffassungsgabe.</w:t>
      </w:r>
    </w:p>
    <w:p>
      <w:pPr>
        <w:keepNext/>
        <w:spacing w:after="80"/>
        <w:ind w:left="170"/>
      </w:pPr>
      <w:r>
        <w:rPr>
          <w:rFonts w:ascii="Arial" w:hAnsi="Arial"/>
          <w:color w:val="163258"/>
          <w:sz w:val="24"/>
        </w:rPr>
        <w:t xml:space="preserve">• </w:t>
      </w:r>
      <w:r>
        <w:rPr>
          <w:rFonts w:ascii="Arial" w:hAnsi="Arial"/>
          <w:b w:val="0"/>
          <w:i w:val="0"/>
          <w:color w:val="163258"/>
          <w:sz w:val="20"/>
        </w:rPr>
        <w:t>Herausforderungen sind willkommen : -)</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val="0"/>
        <w:spacing w:after="320"/>
        <w:ind w:left="170"/>
      </w:pPr>
      <w:r>
        <w:rPr>
          <w:rFonts w:ascii="Arial" w:hAnsi="Arial"/>
          <w:color w:val="163258"/>
          <w:sz w:val="24"/>
        </w:rPr>
        <w:t xml:space="preserve">• </w:t>
      </w:r>
      <w:r>
        <w:rPr>
          <w:rFonts w:ascii="Arial" w:hAnsi="Arial"/>
          <w:b w:val="0"/>
          <w:i w:val="0"/>
          <w:color w:val="163258"/>
          <w:sz w:val="20"/>
        </w:rPr>
        <w:t>Qualitätsmanagement / Qualitätssicherung / Test</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01/2020 - 02/2021</w:t>
            </w:r>
            <w:r>
              <w:rPr>
                <w:sz w:val="22"/>
              </w:rPr>
              <w:tab/>
            </w:r>
            <w:r>
              <w:rPr>
                <w:rFonts w:ascii="Arial" w:hAnsi="Arial"/>
                <w:b/>
                <w:color w:val="163258"/>
                <w:sz w:val="26"/>
              </w:rPr>
              <w:t>ING</w:t>
            </w:r>
          </w:p>
          <w:p>
            <w:pPr>
              <w:spacing w:after="160"/>
            </w:pPr>
            <w:r>
              <w:rPr>
                <w:rFonts w:ascii="Arial" w:hAnsi="Arial"/>
                <w:b/>
                <w:i w:val="0"/>
                <w:color w:val="163258"/>
                <w:sz w:val="22"/>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Change Prozesses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Zunächst Businessanalyse und Konzeption, während der Umsetzung Projektleitung/Product Owner, für eine zentrales Data Field Inventory, sowie einen technisch unterstützenden Data Change Prozess.</w:t>
            </w:r>
          </w:p>
          <w:p>
            <w:pPr>
              <w:spacing w:after="80"/>
              <w:ind w:left="227" w:hanging="170"/>
            </w:pPr>
            <w:r>
              <w:rPr>
                <w:rFonts w:ascii="Arial" w:hAnsi="Arial"/>
                <w:color w:val="163258"/>
                <w:sz w:val="24"/>
              </w:rPr>
              <w:t xml:space="preserve">• </w:t>
            </w:r>
            <w:r>
              <w:rPr>
                <w:rFonts w:ascii="Arial" w:hAnsi="Arial"/>
                <w:b w:val="0"/>
                <w:i w:val="0"/>
                <w:color w:val="163258"/>
                <w:sz w:val="20"/>
              </w:rPr>
              <w:t>Im Data Field Inventory werden die Meta-Daten Informationen zu den Datenfeldern (u.a. aus dem zentralen Data Warehouse) mitsamt ihrer GDPR relevanten Informationen (z.B. Personenbezogene Daten, Sensitive Daten,</w:t>
            </w:r>
          </w:p>
          <w:p>
            <w:pPr>
              <w:spacing w:after="80"/>
              <w:ind w:left="227" w:hanging="170"/>
            </w:pPr>
            <w:r>
              <w:rPr>
                <w:rFonts w:ascii="Arial" w:hAnsi="Arial"/>
                <w:color w:val="163258"/>
                <w:sz w:val="24"/>
              </w:rPr>
              <w:t xml:space="preserve">• </w:t>
            </w:r>
            <w:r>
              <w:rPr>
                <w:rFonts w:ascii="Arial" w:hAnsi="Arial"/>
                <w:b w:val="0"/>
                <w:i w:val="0"/>
                <w:color w:val="163258"/>
                <w:sz w:val="20"/>
              </w:rPr>
              <w:t>Verwaltung von Meta-Daten Informationen zu Datenfeldern (u.a. aus dem zentralen Data Warehouse) mitsamt GDPR relevanter Informationen (z.B. Personenbezogene Daten, Sensitive Daten, Art 15 Auskunftspflicht, Zustimmungspflicht, etc. inkl. der verantwortlichen Dateneigentümer)</w:t>
            </w:r>
          </w:p>
          <w:p>
            <w:pPr>
              <w:spacing w:after="80"/>
              <w:ind w:left="227" w:hanging="170"/>
            </w:pPr>
            <w:r>
              <w:rPr>
                <w:rFonts w:ascii="Arial" w:hAnsi="Arial"/>
                <w:color w:val="163258"/>
                <w:sz w:val="24"/>
              </w:rPr>
              <w:t xml:space="preserve">• </w:t>
            </w:r>
            <w:r>
              <w:rPr>
                <w:rFonts w:ascii="Arial" w:hAnsi="Arial"/>
                <w:b w:val="0"/>
                <w:i w:val="0"/>
                <w:color w:val="163258"/>
                <w:sz w:val="20"/>
              </w:rPr>
              <w:t>Ein neu implementierter Data Change Prozess stellt technisch sicher, dass</w:t>
            </w:r>
          </w:p>
          <w:p>
            <w:pPr>
              <w:spacing w:after="80"/>
              <w:ind w:left="227" w:hanging="170"/>
            </w:pPr>
            <w:r>
              <w:rPr>
                <w:rFonts w:ascii="Arial" w:hAnsi="Arial"/>
                <w:color w:val="163258"/>
                <w:sz w:val="24"/>
              </w:rPr>
              <w:t xml:space="preserve">• </w:t>
            </w:r>
            <w:r>
              <w:rPr>
                <w:rFonts w:ascii="Arial" w:hAnsi="Arial"/>
                <w:b w:val="0"/>
                <w:i w:val="0"/>
                <w:color w:val="163258"/>
                <w:sz w:val="20"/>
              </w:rPr>
              <w:t>Technische Sicherstellung, dass Veränderungen an Datenstrukturen während des Software-Entwicklungszyklusses überwacht und der ordnungsgemäßen Dokumentation sowie der abzuleitenden Maßnahmen zugeführt werden</w:t>
            </w:r>
          </w:p>
          <w:p>
            <w:pPr>
              <w:spacing w:after="80"/>
              <w:ind w:left="227" w:hanging="170"/>
            </w:pPr>
            <w:r>
              <w:rPr>
                <w:rFonts w:ascii="Arial" w:hAnsi="Arial"/>
                <w:color w:val="163258"/>
                <w:sz w:val="24"/>
              </w:rPr>
              <w:t xml:space="preserve">• </w:t>
            </w:r>
            <w:r>
              <w:rPr>
                <w:rFonts w:ascii="Arial" w:hAnsi="Arial"/>
                <w:b w:val="0"/>
                <w:i w:val="0"/>
                <w:color w:val="163258"/>
                <w:sz w:val="20"/>
              </w:rPr>
              <w:t>JIRA, Confluence, BPM, agile Project Management, GDPR, DSGVO, Datenschutz</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JIRA, Confluence, BPM, GDPR, DSGVO, Datenschutz, agile Project 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09/2019 - 12/2019</w:t>
            </w:r>
            <w:r>
              <w:rPr>
                <w:sz w:val="22"/>
              </w:rPr>
              <w:tab/>
            </w:r>
            <w:r>
              <w:rPr>
                <w:rFonts w:ascii="Arial" w:hAnsi="Arial"/>
                <w:b/>
                <w:color w:val="163258"/>
                <w:sz w:val="26"/>
              </w:rPr>
              <w:t>ING</w:t>
            </w:r>
          </w:p>
          <w:p>
            <w:pPr>
              <w:spacing w:after="160"/>
            </w:pPr>
            <w:r>
              <w:rPr>
                <w:rFonts w:ascii="Arial" w:hAnsi="Arial"/>
                <w:b/>
                <w:i w:val="0"/>
                <w:color w:val="163258"/>
                <w:sz w:val="22"/>
              </w:rPr>
              <w:t>Business Analyst</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Analyse und Konzeption</w:t>
            </w:r>
          </w:p>
          <w:p>
            <w:pPr>
              <w:spacing w:after="80"/>
              <w:ind w:left="227" w:hanging="170"/>
            </w:pPr>
            <w:r>
              <w:rPr>
                <w:rFonts w:ascii="Arial" w:hAnsi="Arial"/>
                <w:color w:val="163258"/>
                <w:sz w:val="24"/>
              </w:rPr>
              <w:t xml:space="preserve">• </w:t>
            </w:r>
            <w:r>
              <w:rPr>
                <w:rFonts w:ascii="Arial" w:hAnsi="Arial"/>
                <w:b w:val="0"/>
                <w:i w:val="0"/>
                <w:color w:val="163258"/>
                <w:sz w:val="20"/>
              </w:rPr>
              <w:t>Erstellen eines systemübergreifenden Konzeptes im Sinne eines skalierbaren Umsetzungsplanes / Vorgehensmodells</w:t>
            </w:r>
          </w:p>
          <w:p>
            <w:pPr>
              <w:spacing w:after="80"/>
              <w:ind w:left="227" w:hanging="170"/>
            </w:pPr>
            <w:r>
              <w:rPr>
                <w:rFonts w:ascii="Arial" w:hAnsi="Arial"/>
                <w:color w:val="163258"/>
                <w:sz w:val="24"/>
              </w:rPr>
              <w:t xml:space="preserve">• </w:t>
            </w:r>
            <w:r>
              <w:rPr>
                <w:rFonts w:ascii="Arial" w:hAnsi="Arial"/>
                <w:b w:val="0"/>
                <w:i w:val="0"/>
                <w:color w:val="163258"/>
                <w:sz w:val="20"/>
              </w:rPr>
              <w:t>Analyse &amp; Konzeption zur Einführung eines synthetischen Testdatensets</w:t>
            </w:r>
          </w:p>
          <w:p>
            <w:pPr>
              <w:spacing w:after="80"/>
              <w:ind w:left="227" w:hanging="170"/>
            </w:pPr>
            <w:r>
              <w:rPr>
                <w:rFonts w:ascii="Arial" w:hAnsi="Arial"/>
                <w:color w:val="163258"/>
                <w:sz w:val="24"/>
              </w:rPr>
              <w:t xml:space="preserve">• </w:t>
            </w:r>
            <w:r>
              <w:rPr>
                <w:rFonts w:ascii="Arial" w:hAnsi="Arial"/>
                <w:b w:val="0"/>
                <w:i w:val="0"/>
                <w:color w:val="163258"/>
                <w:sz w:val="20"/>
              </w:rPr>
              <w:t>Umsetzung von regulatorischen Anforderungen in technische Spezifikationen</w:t>
            </w:r>
          </w:p>
          <w:p>
            <w:pPr>
              <w:spacing w:after="80"/>
              <w:ind w:left="227" w:hanging="170"/>
            </w:pPr>
            <w:r>
              <w:rPr>
                <w:rFonts w:ascii="Arial" w:hAnsi="Arial"/>
                <w:color w:val="163258"/>
                <w:sz w:val="24"/>
              </w:rPr>
              <w:t xml:space="preserve">• </w:t>
            </w:r>
            <w:r>
              <w:rPr>
                <w:rFonts w:ascii="Arial" w:hAnsi="Arial"/>
                <w:b w:val="0"/>
                <w:i w:val="0"/>
                <w:color w:val="163258"/>
                <w:sz w:val="20"/>
              </w:rPr>
              <w:t>Anforderungsmanagement (Analyse, Bewertung sowie zusammen mit der Anwendungsentwicklung die Umsetzung von IT-Anforderungen)</w:t>
            </w:r>
          </w:p>
          <w:p>
            <w:pPr>
              <w:spacing w:after="80"/>
              <w:ind w:left="227" w:hanging="170"/>
            </w:pPr>
            <w:r>
              <w:rPr>
                <w:rFonts w:ascii="Arial" w:hAnsi="Arial"/>
                <w:color w:val="163258"/>
                <w:sz w:val="24"/>
              </w:rPr>
              <w:t xml:space="preserve">• </w:t>
            </w:r>
            <w:r>
              <w:rPr>
                <w:rFonts w:ascii="Arial" w:hAnsi="Arial"/>
                <w:b w:val="0"/>
                <w:i w:val="0"/>
                <w:color w:val="163258"/>
                <w:sz w:val="20"/>
              </w:rPr>
              <w:t>Erstellen von IT-Spezifikationen und Prozessdokumentationen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09/2018 - 12/2019</w:t>
            </w:r>
            <w:r>
              <w:rPr>
                <w:sz w:val="22"/>
              </w:rPr>
              <w:tab/>
            </w:r>
            <w:r>
              <w:rPr>
                <w:rFonts w:ascii="Arial" w:hAnsi="Arial"/>
                <w:b/>
                <w:color w:val="163258"/>
                <w:sz w:val="26"/>
              </w:rPr>
              <w:t>DZ Bank AG</w:t>
            </w:r>
          </w:p>
          <w:p>
            <w:pPr>
              <w:spacing w:after="160"/>
            </w:pPr>
            <w:r>
              <w:rPr>
                <w:rFonts w:ascii="Arial" w:hAnsi="Arial"/>
                <w:b/>
                <w:i w:val="0"/>
                <w:color w:val="163258"/>
                <w:sz w:val="22"/>
              </w:rPr>
              <w:t>Testmanagement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Das Projekt wurde als Hybrid (klassisches &amp; agiles Projektvorgehen) umgesetzt</w:t>
            </w:r>
          </w:p>
          <w:p>
            <w:pPr>
              <w:spacing w:after="80"/>
              <w:ind w:left="227" w:hanging="170"/>
            </w:pPr>
            <w:r>
              <w:rPr>
                <w:rFonts w:ascii="Arial" w:hAnsi="Arial"/>
                <w:color w:val="163258"/>
                <w:sz w:val="24"/>
              </w:rPr>
              <w:t xml:space="preserve">• </w:t>
            </w:r>
            <w:r>
              <w:rPr>
                <w:rFonts w:ascii="Arial" w:hAnsi="Arial"/>
                <w:b w:val="0"/>
                <w:i w:val="0"/>
                <w:color w:val="163258"/>
                <w:sz w:val="20"/>
              </w:rPr>
              <w:t>Durchführung klassischer Testmanagementaufgaben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Testkonzeption</w:t>
            </w:r>
          </w:p>
          <w:p>
            <w:pPr>
              <w:spacing w:after="80"/>
              <w:ind w:left="227" w:hanging="170"/>
            </w:pPr>
            <w:r>
              <w:rPr>
                <w:rFonts w:ascii="Arial" w:hAnsi="Arial"/>
                <w:color w:val="163258"/>
                <w:sz w:val="24"/>
              </w:rPr>
              <w:t xml:space="preserve">• </w:t>
            </w:r>
            <w:r>
              <w:rPr>
                <w:rFonts w:ascii="Arial" w:hAnsi="Arial"/>
                <w:b w:val="0"/>
                <w:i w:val="0"/>
                <w:color w:val="163258"/>
                <w:sz w:val="20"/>
              </w:rPr>
              <w:t>Abstimmung mit den Stakeholdern und den Testern Koordination von Deployments</w:t>
            </w:r>
          </w:p>
          <w:p>
            <w:pPr>
              <w:spacing w:after="80"/>
              <w:ind w:left="227" w:hanging="170"/>
            </w:pPr>
            <w:r>
              <w:rPr>
                <w:rFonts w:ascii="Arial" w:hAnsi="Arial"/>
                <w:color w:val="163258"/>
                <w:sz w:val="24"/>
              </w:rPr>
              <w:t xml:space="preserve">• </w:t>
            </w:r>
            <w:r>
              <w:rPr>
                <w:rFonts w:ascii="Arial" w:hAnsi="Arial"/>
                <w:b w:val="0"/>
                <w:i w:val="0"/>
                <w:color w:val="163258"/>
                <w:sz w:val="20"/>
              </w:rPr>
              <w:t>Teststatusberichte</w:t>
            </w:r>
          </w:p>
          <w:p>
            <w:pPr>
              <w:spacing w:after="80"/>
              <w:ind w:left="227" w:hanging="170"/>
            </w:pPr>
            <w:r>
              <w:rPr>
                <w:rFonts w:ascii="Arial" w:hAnsi="Arial"/>
                <w:color w:val="163258"/>
                <w:sz w:val="24"/>
              </w:rPr>
              <w:t xml:space="preserve">• </w:t>
            </w:r>
            <w:r>
              <w:rPr>
                <w:rFonts w:ascii="Arial" w:hAnsi="Arial"/>
                <w:b w:val="0"/>
                <w:i w:val="0"/>
                <w:color w:val="163258"/>
                <w:sz w:val="20"/>
              </w:rPr>
              <w:t>Test- und Defektmanagement</w:t>
            </w:r>
          </w:p>
          <w:p>
            <w:pPr>
              <w:spacing w:after="80"/>
              <w:ind w:left="227" w:hanging="170"/>
            </w:pPr>
            <w:r>
              <w:rPr>
                <w:rFonts w:ascii="Arial" w:hAnsi="Arial"/>
                <w:color w:val="163258"/>
                <w:sz w:val="24"/>
              </w:rPr>
              <w:t xml:space="preserve">• </w:t>
            </w:r>
            <w:r>
              <w:rPr>
                <w:rFonts w:ascii="Arial" w:hAnsi="Arial"/>
                <w:b w:val="0"/>
                <w:i w:val="0"/>
                <w:color w:val="163258"/>
                <w:sz w:val="20"/>
              </w:rPr>
              <w:t>Tägliche Defectcalls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08/2018 - 12/2018</w:t>
            </w:r>
            <w:r>
              <w:rPr>
                <w:sz w:val="22"/>
              </w:rPr>
              <w:tab/>
            </w:r>
            <w:r>
              <w:rPr>
                <w:rFonts w:ascii="Arial" w:hAnsi="Arial"/>
                <w:b/>
                <w:color w:val="163258"/>
                <w:sz w:val="26"/>
              </w:rPr>
            </w:r>
          </w:p>
          <w:p>
            <w:pPr>
              <w:spacing w:after="160"/>
            </w:pPr>
            <w:r>
              <w:rPr>
                <w:rFonts w:ascii="Arial" w:hAnsi="Arial"/>
                <w:b/>
                <w:i w:val="0"/>
                <w:color w:val="163258"/>
                <w:sz w:val="22"/>
              </w:rPr>
              <w:t>Testmanager</w:t>
            </w:r>
          </w:p>
          <w:p>
            <w:pPr>
              <w:spacing w:after="80"/>
              <w:ind w:left="227" w:hanging="170"/>
            </w:pPr>
            <w:r>
              <w:rPr>
                <w:rFonts w:ascii="Arial" w:hAnsi="Arial"/>
                <w:color w:val="163258"/>
                <w:sz w:val="24"/>
              </w:rPr>
              <w:t xml:space="preserve">• </w:t>
            </w:r>
            <w:r>
              <w:rPr>
                <w:rFonts w:ascii="Arial" w:hAnsi="Arial"/>
                <w:b w:val="0"/>
                <w:i w:val="0"/>
                <w:color w:val="163258"/>
                <w:sz w:val="20"/>
              </w:rPr>
              <w:t>Branche: Versicherungen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eines risikobasierten Testkonzeptes für die ITSM Suite</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Microfocus</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Microfocus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11/2017 - 06/2018</w:t>
            </w:r>
            <w:r>
              <w:rPr>
                <w:sz w:val="22"/>
              </w:rPr>
              <w:tab/>
            </w:r>
            <w:r>
              <w:rPr>
                <w:rFonts w:ascii="Arial" w:hAnsi="Arial"/>
                <w:b/>
                <w:color w:val="163258"/>
                <w:sz w:val="26"/>
              </w:rPr>
              <w:t>onVista, comdirect (Rechtsabteilung; EU-DSGVO)</w:t>
            </w:r>
          </w:p>
          <w:p>
            <w:pPr>
              <w:spacing w:after="160"/>
            </w:pPr>
            <w:r>
              <w:rPr>
                <w:rFonts w:ascii="Arial" w:hAnsi="Arial"/>
                <w:b/>
                <w:i w:val="0"/>
                <w:color w:val="163258"/>
                <w:sz w:val="22"/>
              </w:rPr>
              <w:t>Projektplanung, Analyse der Datenflüsse und Prozesse</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Planung und Aufbereitung für ein Vorgehensmodell Analyse der Datenflüsse und Prozesse</w:t>
            </w:r>
          </w:p>
          <w:p>
            <w:pPr>
              <w:spacing w:after="80"/>
              <w:ind w:left="227" w:hanging="170"/>
            </w:pPr>
            <w:r>
              <w:rPr>
                <w:rFonts w:ascii="Arial" w:hAnsi="Arial"/>
                <w:color w:val="163258"/>
                <w:sz w:val="24"/>
              </w:rPr>
              <w:t xml:space="preserve">• </w:t>
            </w:r>
            <w:r>
              <w:rPr>
                <w:rFonts w:ascii="Arial" w:hAnsi="Arial"/>
                <w:b w:val="0"/>
                <w:i w:val="0"/>
                <w:color w:val="163258"/>
                <w:sz w:val="20"/>
              </w:rPr>
              <w:t>Erstellung des Verzeichnisses der Verfahrenstätigkeiten und Koordination der Verfahrensdokumentation Vorbereitung für IT Maßnahmen, z.B. Löschkonzeptionen</w:t>
            </w:r>
          </w:p>
          <w:p>
            <w:pPr>
              <w:spacing w:after="80"/>
              <w:ind w:left="227" w:hanging="170"/>
            </w:pPr>
            <w:r>
              <w:rPr>
                <w:rFonts w:ascii="Arial" w:hAnsi="Arial"/>
                <w:color w:val="163258"/>
                <w:sz w:val="24"/>
              </w:rPr>
              <w:t xml:space="preserve">• </w:t>
            </w:r>
            <w:r>
              <w:rPr>
                <w:rFonts w:ascii="Arial" w:hAnsi="Arial"/>
                <w:b w:val="0"/>
                <w:i w:val="0"/>
                <w:color w:val="163258"/>
                <w:sz w:val="20"/>
              </w:rPr>
              <w:t>Erstellung einer strukturierten und übergreifenden Informationsdatenbank in MS Access</w:t>
            </w:r>
          </w:p>
          <w:p>
            <w:pPr>
              <w:spacing w:after="80"/>
              <w:ind w:left="227" w:hanging="170"/>
            </w:pPr>
            <w:r>
              <w:rPr>
                <w:rFonts w:ascii="Arial" w:hAnsi="Arial"/>
                <w:color w:val="163258"/>
                <w:sz w:val="24"/>
              </w:rPr>
              <w:t xml:space="preserve">• </w:t>
            </w:r>
            <w:r>
              <w:rPr>
                <w:rFonts w:ascii="Arial" w:hAnsi="Arial"/>
                <w:b w:val="0"/>
                <w:i w:val="0"/>
                <w:color w:val="163258"/>
                <w:sz w:val="20"/>
              </w:rPr>
              <w:t>EU-DSGVO, GDPR, DSGVO</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GDPR, DSGVO, MS Access, EU-DSGVO</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07/2017 - 12/2017</w:t>
            </w:r>
            <w:r>
              <w:rPr>
                <w:sz w:val="22"/>
              </w:rPr>
              <w:tab/>
            </w:r>
            <w:r>
              <w:rPr>
                <w:rFonts w:ascii="Arial" w:hAnsi="Arial"/>
                <w:b/>
                <w:color w:val="163258"/>
                <w:sz w:val="26"/>
              </w:rPr>
              <w:t>Commerzbank AG (Infrastruktur regulatorisches Reporting; IB</w:t>
            </w:r>
          </w:p>
          <w:p>
            <w:pPr>
              <w:spacing w:after="160"/>
            </w:pPr>
            <w:r>
              <w:rPr>
                <w:rFonts w:ascii="Arial" w:hAnsi="Arial"/>
                <w:b/>
                <w:i w:val="0"/>
                <w:color w:val="163258"/>
                <w:sz w:val="22"/>
              </w:rPr>
              <w:t>IT-Projektleiter Infrastruktur</w:t>
            </w:r>
          </w:p>
          <w:p>
            <w:pPr>
              <w:spacing w:after="80"/>
              <w:ind w:left="227" w:hanging="170"/>
            </w:pPr>
            <w:r>
              <w:rPr>
                <w:rFonts w:ascii="Arial" w:hAnsi="Arial"/>
                <w:color w:val="163258"/>
                <w:sz w:val="24"/>
              </w:rPr>
              <w:t xml:space="preserve">• </w:t>
            </w:r>
            <w:r>
              <w:rPr>
                <w:rFonts w:ascii="Arial" w:hAnsi="Arial"/>
                <w:b w:val="0"/>
                <w:i w:val="0"/>
                <w:color w:val="163258"/>
                <w:sz w:val="20"/>
              </w:rPr>
              <w:t>London)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Unterstützung zur Bereitstellung/Migration der Infrastruktur im Programm Regulatory Reporting (MIFIRD/MIFIR/EMIR, u.a.)</w:t>
            </w:r>
          </w:p>
          <w:p>
            <w:pPr>
              <w:spacing w:after="80"/>
              <w:ind w:left="227" w:hanging="170"/>
            </w:pPr>
            <w:r>
              <w:rPr>
                <w:rFonts w:ascii="Arial" w:hAnsi="Arial"/>
                <w:color w:val="163258"/>
                <w:sz w:val="24"/>
              </w:rPr>
              <w:t xml:space="preserve">• </w:t>
            </w:r>
            <w:r>
              <w:rPr>
                <w:rFonts w:ascii="Arial" w:hAnsi="Arial"/>
                <w:b w:val="0"/>
                <w:i w:val="0"/>
                <w:color w:val="163258"/>
                <w:sz w:val="20"/>
              </w:rPr>
              <w:t>Regulatory Reporting (MIFIRD/MIFIR/EMIR, u.a.)</w:t>
            </w:r>
          </w:p>
          <w:p>
            <w:pPr>
              <w:spacing w:after="80"/>
              <w:ind w:left="227" w:hanging="170"/>
            </w:pPr>
            <w:r>
              <w:rPr>
                <w:rFonts w:ascii="Arial" w:hAnsi="Arial"/>
                <w:color w:val="163258"/>
                <w:sz w:val="24"/>
              </w:rPr>
              <w:t xml:space="preserve">• </w:t>
            </w:r>
            <w:r>
              <w:rPr>
                <w:rFonts w:ascii="Arial" w:hAnsi="Arial"/>
                <w:b w:val="0"/>
                <w:i w:val="0"/>
                <w:color w:val="163258"/>
                <w:sz w:val="20"/>
              </w:rPr>
              <w:t>Solution Design mit Abstimmungen der Infrastruktur Abteilungen und dem Development Projektmanagement und Migrationskonzeption für Migration Websphere;</w:t>
            </w:r>
          </w:p>
          <w:p>
            <w:pPr>
              <w:spacing w:after="80"/>
              <w:ind w:left="227" w:hanging="170"/>
            </w:pPr>
            <w:r>
              <w:rPr>
                <w:rFonts w:ascii="Arial" w:hAnsi="Arial"/>
                <w:color w:val="163258"/>
                <w:sz w:val="24"/>
              </w:rPr>
              <w:t xml:space="preserve">• </w:t>
            </w:r>
            <w:r>
              <w:rPr>
                <w:rFonts w:ascii="Arial" w:hAnsi="Arial"/>
                <w:b w:val="0"/>
                <w:i w:val="0"/>
                <w:color w:val="163258"/>
                <w:sz w:val="20"/>
              </w:rPr>
              <w:t>Oracle;MQ-Series</w:t>
            </w:r>
          </w:p>
          <w:p>
            <w:pPr>
              <w:spacing w:after="80"/>
              <w:ind w:left="227" w:hanging="170"/>
            </w:pPr>
            <w:r>
              <w:rPr>
                <w:rFonts w:ascii="Arial" w:hAnsi="Arial"/>
                <w:color w:val="163258"/>
                <w:sz w:val="24"/>
              </w:rPr>
              <w:t xml:space="preserve">• </w:t>
            </w:r>
            <w:r>
              <w:rPr>
                <w:rFonts w:ascii="Arial" w:hAnsi="Arial"/>
                <w:b w:val="0"/>
                <w:i w:val="0"/>
                <w:color w:val="163258"/>
                <w:sz w:val="20"/>
              </w:rPr>
              <w:t>Einkauf und Konfiguration der benötigten Infrastruktur (Hardware, Software, Lizenzen) für alle Umgebungen (Entw./Test und Produktion)</w:t>
            </w:r>
          </w:p>
          <w:p>
            <w:pPr>
              <w:spacing w:after="80"/>
              <w:ind w:left="227" w:hanging="170"/>
            </w:pPr>
            <w:r>
              <w:rPr>
                <w:rFonts w:ascii="Arial" w:hAnsi="Arial"/>
                <w:color w:val="163258"/>
                <w:sz w:val="24"/>
              </w:rPr>
              <w:t xml:space="preserve">• </w:t>
            </w:r>
            <w:r>
              <w:rPr>
                <w:rFonts w:ascii="Arial" w:hAnsi="Arial"/>
                <w:b w:val="0"/>
                <w:i w:val="0"/>
                <w:color w:val="163258"/>
                <w:sz w:val="20"/>
              </w:rPr>
              <w:t>Software, Lizenzen) für alle Umgebungen (Entw./Test und Produktion)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Websphere, Java, Oracle, MQ-Series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01/2017 - 07/2017</w:t>
            </w:r>
            <w:r>
              <w:rPr>
                <w:sz w:val="22"/>
              </w:rPr>
              <w:tab/>
            </w:r>
            <w:r>
              <w:rPr>
                <w:rFonts w:ascii="Arial" w:hAnsi="Arial"/>
                <w:b/>
                <w:color w:val="163258"/>
                <w:sz w:val="26"/>
              </w:rPr>
              <w:t>Deutsche Bank AG (Bereich Lending/Kredite)</w:t>
            </w:r>
          </w:p>
          <w:p>
            <w:pPr>
              <w:spacing w:after="160"/>
            </w:pPr>
            <w:r>
              <w:rPr>
                <w:rFonts w:ascii="Arial" w:hAnsi="Arial"/>
                <w:b/>
                <w:i w:val="0"/>
                <w:color w:val="163258"/>
                <w:sz w:val="22"/>
              </w:rPr>
              <w:t>QA- und Testmanagement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Testmanagement für mehrere Projekte zur Transitionsphase vom zentralisierten Testmanagement in die Fachbereiche Testplanung (Zeit- und Ressourcen), Test- und Defectmanagement</w:t>
            </w:r>
          </w:p>
          <w:p>
            <w:pPr>
              <w:spacing w:after="80"/>
              <w:ind w:left="227" w:hanging="170"/>
            </w:pPr>
            <w:r>
              <w:rPr>
                <w:rFonts w:ascii="Arial" w:hAnsi="Arial"/>
                <w:color w:val="163258"/>
                <w:sz w:val="24"/>
              </w:rPr>
              <w:t xml:space="preserve">• </w:t>
            </w:r>
            <w:r>
              <w:rPr>
                <w:rFonts w:ascii="Arial" w:hAnsi="Arial"/>
                <w:b w:val="0"/>
                <w:i w:val="0"/>
                <w:color w:val="163258"/>
                <w:sz w:val="20"/>
              </w:rPr>
              <w:t>Testmanagement in die Fachbereiche Testplanung (Zeit- und Ressourcen), Test- und Defectmanagement</w:t>
            </w:r>
          </w:p>
          <w:p>
            <w:pPr>
              <w:spacing w:after="80"/>
              <w:ind w:left="227" w:hanging="170"/>
            </w:pPr>
            <w:r>
              <w:rPr>
                <w:rFonts w:ascii="Arial" w:hAnsi="Arial"/>
                <w:color w:val="163258"/>
                <w:sz w:val="24"/>
              </w:rPr>
              <w:t xml:space="preserve">• </w:t>
            </w:r>
            <w:r>
              <w:rPr>
                <w:rFonts w:ascii="Arial" w:hAnsi="Arial"/>
                <w:b w:val="0"/>
                <w:i w:val="0"/>
                <w:color w:val="163258"/>
                <w:sz w:val="20"/>
              </w:rPr>
              <w:t>Entwicklung der Teststrategie und Erstellung der Testkonzepte Durchführung von Test Kick-Off Veranstaltung</w:t>
            </w:r>
          </w:p>
          <w:p>
            <w:pPr>
              <w:spacing w:after="80"/>
              <w:ind w:left="227" w:hanging="170"/>
            </w:pPr>
            <w:r>
              <w:rPr>
                <w:rFonts w:ascii="Arial" w:hAnsi="Arial"/>
                <w:color w:val="163258"/>
                <w:sz w:val="24"/>
              </w:rPr>
              <w:t xml:space="preserve">• </w:t>
            </w:r>
            <w:r>
              <w:rPr>
                <w:rFonts w:ascii="Arial" w:hAnsi="Arial"/>
                <w:b w:val="0"/>
                <w:i w:val="0"/>
                <w:color w:val="163258"/>
                <w:sz w:val="20"/>
              </w:rPr>
              <w:t>Koordination und Steuerung der Testteams aus verschiedenen Fachbereichen und (internationalen) Lokationen</w:t>
            </w:r>
          </w:p>
          <w:p>
            <w:pPr>
              <w:spacing w:after="80"/>
              <w:ind w:left="227" w:hanging="170"/>
            </w:pPr>
            <w:r>
              <w:rPr>
                <w:rFonts w:ascii="Arial" w:hAnsi="Arial"/>
                <w:color w:val="163258"/>
                <w:sz w:val="24"/>
              </w:rPr>
              <w:t xml:space="preserve">• </w:t>
            </w:r>
            <w:r>
              <w:rPr>
                <w:rFonts w:ascii="Arial" w:hAnsi="Arial"/>
                <w:b w:val="0"/>
                <w:i w:val="0"/>
                <w:color w:val="163258"/>
                <w:sz w:val="20"/>
              </w:rPr>
              <w:t>Abstimmungen mit Fachbereich und den beteiligten IT-Bereichen</w:t>
            </w:r>
          </w:p>
          <w:p>
            <w:pPr>
              <w:spacing w:after="80"/>
              <w:ind w:left="227" w:hanging="170"/>
            </w:pPr>
            <w:r>
              <w:rPr>
                <w:rFonts w:ascii="Arial" w:hAnsi="Arial"/>
                <w:color w:val="163258"/>
                <w:sz w:val="24"/>
              </w:rPr>
              <w:t xml:space="preserve">• </w:t>
            </w:r>
            <w:r>
              <w:rPr>
                <w:rFonts w:ascii="Arial" w:hAnsi="Arial"/>
                <w:b w:val="0"/>
                <w:i w:val="0"/>
                <w:color w:val="163258"/>
                <w:sz w:val="20"/>
              </w:rPr>
              <w:t>Erstellung Testabnahmedokumentation</w:t>
            </w:r>
          </w:p>
          <w:p>
            <w:pPr>
              <w:spacing w:after="80"/>
              <w:ind w:left="227" w:hanging="170"/>
            </w:pPr>
            <w:r>
              <w:rPr>
                <w:rFonts w:ascii="Arial" w:hAnsi="Arial"/>
                <w:color w:val="163258"/>
                <w:sz w:val="24"/>
              </w:rPr>
              <w:t xml:space="preserve">• </w:t>
            </w:r>
            <w:r>
              <w:rPr>
                <w:rFonts w:ascii="Arial" w:hAnsi="Arial"/>
                <w:b w:val="0"/>
                <w:i w:val="0"/>
                <w:color w:val="163258"/>
                <w:sz w:val="20"/>
              </w:rPr>
              <w:t>Testplanung und Unterstützung für klassische, agile und hybrid laufende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06/2016 - 12/2016</w:t>
            </w:r>
            <w:r>
              <w:rPr>
                <w:sz w:val="22"/>
              </w:rPr>
              <w:tab/>
            </w:r>
            <w:r>
              <w:rPr>
                <w:rFonts w:ascii="Arial" w:hAnsi="Arial"/>
                <w:b/>
                <w:color w:val="163258"/>
                <w:sz w:val="26"/>
              </w:rPr>
              <w:t>Commerzbank AG (Compliance;IB London)</w:t>
            </w:r>
          </w:p>
          <w:p>
            <w:pPr>
              <w:spacing w:after="160"/>
            </w:pPr>
            <w:r>
              <w:rPr>
                <w:rFonts w:ascii="Arial" w:hAnsi="Arial"/>
                <w:b/>
                <w:i w:val="0"/>
                <w:color w:val="163258"/>
                <w:sz w:val="22"/>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Projektsanierung eines laufenden Groß-Projektes im Compliance Umfeld mit zeitlichem Verzug und regulatorischem End-Termin</w:t>
            </w:r>
          </w:p>
          <w:p>
            <w:pPr>
              <w:spacing w:after="80"/>
              <w:ind w:left="227" w:hanging="170"/>
            </w:pPr>
            <w:r>
              <w:rPr>
                <w:rFonts w:ascii="Arial" w:hAnsi="Arial"/>
                <w:color w:val="163258"/>
                <w:sz w:val="24"/>
              </w:rPr>
              <w:t xml:space="preserve">• </w:t>
            </w:r>
            <w:r>
              <w:rPr>
                <w:rFonts w:ascii="Arial" w:hAnsi="Arial"/>
                <w:b w:val="0"/>
                <w:i w:val="0"/>
                <w:color w:val="163258"/>
                <w:sz w:val="20"/>
              </w:rPr>
              <w:t>Risikoanalysen</w:t>
            </w:r>
          </w:p>
          <w:p>
            <w:pPr>
              <w:spacing w:after="80"/>
              <w:ind w:left="227" w:hanging="170"/>
            </w:pPr>
            <w:r>
              <w:rPr>
                <w:rFonts w:ascii="Arial" w:hAnsi="Arial"/>
                <w:color w:val="163258"/>
                <w:sz w:val="24"/>
              </w:rPr>
              <w:t xml:space="preserve">• </w:t>
            </w:r>
            <w:r>
              <w:rPr>
                <w:rFonts w:ascii="Arial" w:hAnsi="Arial"/>
                <w:b w:val="0"/>
                <w:i w:val="0"/>
                <w:color w:val="163258"/>
                <w:sz w:val="20"/>
              </w:rPr>
              <w:t>Projekt- und Meilensteinplanung nach V-Model</w:t>
            </w:r>
          </w:p>
          <w:p>
            <w:pPr>
              <w:spacing w:after="80"/>
              <w:ind w:left="227" w:hanging="170"/>
            </w:pPr>
            <w:r>
              <w:rPr>
                <w:rFonts w:ascii="Arial" w:hAnsi="Arial"/>
                <w:color w:val="163258"/>
                <w:sz w:val="24"/>
              </w:rPr>
              <w:t xml:space="preserve">• </w:t>
            </w:r>
            <w:r>
              <w:rPr>
                <w:rFonts w:ascii="Arial" w:hAnsi="Arial"/>
                <w:b w:val="0"/>
                <w:i w:val="0"/>
                <w:color w:val="163258"/>
                <w:sz w:val="20"/>
              </w:rPr>
              <w:t>Abstimmungen mit den Fachabteilungungen Abstimmungen mit anderen IT-Abteilungen und dem externen Vendor</w:t>
            </w:r>
          </w:p>
          <w:p>
            <w:pPr>
              <w:spacing w:after="80"/>
              <w:ind w:left="227" w:hanging="170"/>
            </w:pPr>
            <w:r>
              <w:rPr>
                <w:rFonts w:ascii="Arial" w:hAnsi="Arial"/>
                <w:color w:val="163258"/>
                <w:sz w:val="24"/>
              </w:rPr>
              <w:t xml:space="preserve">• </w:t>
            </w:r>
            <w:r>
              <w:rPr>
                <w:rFonts w:ascii="Arial" w:hAnsi="Arial"/>
                <w:b w:val="0"/>
                <w:i w:val="0"/>
                <w:color w:val="163258"/>
                <w:sz w:val="20"/>
              </w:rPr>
              <w:t>Aufsetzen und Pflege eines neuen SharePoints</w:t>
            </w:r>
          </w:p>
          <w:p>
            <w:pPr>
              <w:spacing w:after="80"/>
              <w:ind w:left="227" w:hanging="170"/>
            </w:pPr>
            <w:r>
              <w:rPr>
                <w:rFonts w:ascii="Arial" w:hAnsi="Arial"/>
                <w:color w:val="163258"/>
                <w:sz w:val="24"/>
              </w:rPr>
              <w:t xml:space="preserve">• </w:t>
            </w:r>
            <w:r>
              <w:rPr>
                <w:rFonts w:ascii="Arial" w:hAnsi="Arial"/>
                <w:b w:val="0"/>
                <w:i w:val="0"/>
                <w:color w:val="163258"/>
                <w:sz w:val="20"/>
              </w:rPr>
              <w:t>Budgetplanung und Kostenkalkulation</w:t>
            </w:r>
          </w:p>
          <w:p>
            <w:pPr>
              <w:spacing w:after="80"/>
              <w:ind w:left="227" w:hanging="170"/>
            </w:pPr>
            <w:r>
              <w:rPr>
                <w:rFonts w:ascii="Arial" w:hAnsi="Arial"/>
                <w:color w:val="163258"/>
                <w:sz w:val="24"/>
              </w:rPr>
              <w:t xml:space="preserve">• </w:t>
            </w:r>
            <w:r>
              <w:rPr>
                <w:rFonts w:ascii="Arial" w:hAnsi="Arial"/>
                <w:b w:val="0"/>
                <w:i w:val="0"/>
                <w:color w:val="163258"/>
                <w:sz w:val="20"/>
              </w:rPr>
              <w:t>Überwachen der Aufgaben- und Terminpläne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SharePoint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08/2015 - 05/2016</w:t>
            </w:r>
            <w:r>
              <w:rPr>
                <w:sz w:val="22"/>
              </w:rPr>
              <w:tab/>
            </w:r>
            <w:r>
              <w:rPr>
                <w:rFonts w:ascii="Arial" w:hAnsi="Arial"/>
                <w:b/>
                <w:color w:val="163258"/>
                <w:sz w:val="26"/>
              </w:rPr>
              <w:t>Commerzbank AG (Compliance)</w:t>
            </w:r>
          </w:p>
          <w:p>
            <w:pPr>
              <w:spacing w:after="160"/>
            </w:pPr>
            <w:r>
              <w:rPr>
                <w:rFonts w:ascii="Arial" w:hAnsi="Arial"/>
                <w:b/>
                <w:i w:val="0"/>
                <w:color w:val="163258"/>
                <w:sz w:val="22"/>
              </w:rPr>
              <w:t>Leitung Workstream Testmanagement</w:t>
            </w:r>
          </w:p>
          <w:p>
            <w:pPr>
              <w:spacing w:after="80"/>
              <w:ind w:left="227" w:hanging="170"/>
            </w:pPr>
            <w:r>
              <w:rPr>
                <w:rFonts w:ascii="Arial" w:hAnsi="Arial"/>
                <w:color w:val="163258"/>
                <w:sz w:val="24"/>
              </w:rPr>
              <w:t xml:space="preserve">• </w:t>
            </w:r>
            <w:r>
              <w:rPr>
                <w:rFonts w:ascii="Arial" w:hAnsi="Arial"/>
                <w:b w:val="0"/>
                <w:i w:val="0"/>
                <w:color w:val="163258"/>
                <w:sz w:val="20"/>
              </w:rPr>
              <w:t>Anforderungen</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Aufbau der Abteilung, inkl. Prozessanalysen und Neukonzeption</w:t>
            </w:r>
          </w:p>
          <w:p>
            <w:pPr>
              <w:spacing w:after="80"/>
              <w:ind w:left="227" w:hanging="170"/>
            </w:pPr>
            <w:r>
              <w:rPr>
                <w:rFonts w:ascii="Arial" w:hAnsi="Arial"/>
                <w:color w:val="163258"/>
                <w:sz w:val="24"/>
              </w:rPr>
              <w:t xml:space="preserve">• </w:t>
            </w:r>
            <w:r>
              <w:rPr>
                <w:rFonts w:ascii="Arial" w:hAnsi="Arial"/>
                <w:b w:val="0"/>
                <w:i w:val="0"/>
                <w:color w:val="163258"/>
                <w:sz w:val="20"/>
              </w:rPr>
              <w:t>Erstellung übergeordneter Teststrategien, Testmethoden und Testzielen</w:t>
            </w:r>
          </w:p>
          <w:p>
            <w:pPr>
              <w:spacing w:after="80"/>
              <w:ind w:left="227" w:hanging="170"/>
            </w:pPr>
            <w:r>
              <w:rPr>
                <w:rFonts w:ascii="Arial" w:hAnsi="Arial"/>
                <w:color w:val="163258"/>
                <w:sz w:val="24"/>
              </w:rPr>
              <w:t xml:space="preserve">• </w:t>
            </w:r>
            <w:r>
              <w:rPr>
                <w:rFonts w:ascii="Arial" w:hAnsi="Arial"/>
                <w:b w:val="0"/>
                <w:i w:val="0"/>
                <w:color w:val="163258"/>
                <w:sz w:val="20"/>
              </w:rPr>
              <w:t>Anleitung und Steuerung des gesamten Testmanagements</w:t>
            </w:r>
          </w:p>
          <w:p>
            <w:pPr>
              <w:spacing w:after="80"/>
              <w:ind w:left="227" w:hanging="170"/>
            </w:pPr>
            <w:r>
              <w:rPr>
                <w:rFonts w:ascii="Arial" w:hAnsi="Arial"/>
                <w:color w:val="163258"/>
                <w:sz w:val="24"/>
              </w:rPr>
              <w:t xml:space="preserve">• </w:t>
            </w:r>
            <w:r>
              <w:rPr>
                <w:rFonts w:ascii="Arial" w:hAnsi="Arial"/>
                <w:b w:val="0"/>
                <w:i w:val="0"/>
                <w:color w:val="163258"/>
                <w:sz w:val="20"/>
              </w:rPr>
              <w:t>Qualitätssicherung der fachlichen und technischen Requirements</w:t>
            </w:r>
          </w:p>
          <w:p>
            <w:pPr>
              <w:spacing w:after="80"/>
              <w:ind w:left="227" w:hanging="170"/>
            </w:pPr>
            <w:r>
              <w:rPr>
                <w:rFonts w:ascii="Arial" w:hAnsi="Arial"/>
                <w:color w:val="163258"/>
                <w:sz w:val="24"/>
              </w:rPr>
              <w:t xml:space="preserve">• </w:t>
            </w:r>
            <w:r>
              <w:rPr>
                <w:rFonts w:ascii="Arial" w:hAnsi="Arial"/>
                <w:b w:val="0"/>
                <w:i w:val="0"/>
                <w:color w:val="163258"/>
                <w:sz w:val="20"/>
              </w:rPr>
              <w:t>Abstimmung der Meilensteinplanung fachlicher Tests und des fachlichen Testscopes mit Workstreamleitern auf Fach- und dem Workstreamleiter Testmanagement auf IT-Seite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12/2013 - 07/2015</w:t>
            </w:r>
            <w:r>
              <w:rPr>
                <w:sz w:val="22"/>
              </w:rPr>
              <w:tab/>
            </w:r>
            <w:r>
              <w:rPr>
                <w:rFonts w:ascii="Arial" w:hAnsi="Arial"/>
                <w:b/>
                <w:color w:val="163258"/>
                <w:sz w:val="26"/>
              </w:rPr>
              <w:t>Commerzbank AG (MSB Vertriebsunterstützung)</w:t>
            </w:r>
          </w:p>
          <w:p>
            <w:pPr>
              <w:spacing w:after="160"/>
            </w:pPr>
            <w:r>
              <w:rPr>
                <w:rFonts w:ascii="Arial" w:hAnsi="Arial"/>
                <w:b/>
                <w:i w:val="0"/>
                <w:color w:val="163258"/>
                <w:sz w:val="22"/>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Budgetplanung und Kostenkalkulation</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Abstimmungen mit der Fachabteilung Abstimmungen mit anderen IT-Abteilungen und externem Gewerknehmer</w:t>
            </w:r>
          </w:p>
          <w:p>
            <w:pPr>
              <w:spacing w:after="80"/>
              <w:ind w:left="227" w:hanging="170"/>
            </w:pPr>
            <w:r>
              <w:rPr>
                <w:rFonts w:ascii="Arial" w:hAnsi="Arial"/>
                <w:color w:val="163258"/>
                <w:sz w:val="24"/>
              </w:rPr>
              <w:t xml:space="preserve">• </w:t>
            </w:r>
            <w:r>
              <w:rPr>
                <w:rFonts w:ascii="Arial" w:hAnsi="Arial"/>
                <w:b w:val="0"/>
                <w:i w:val="0"/>
                <w:color w:val="163258"/>
                <w:sz w:val="20"/>
              </w:rPr>
              <w:t>Projekt- und Meilensteinplanung (angepasstes klassisches V-Model mit agilen Entwicklungsmeilensteinen)</w:t>
            </w:r>
          </w:p>
          <w:p>
            <w:pPr>
              <w:spacing w:after="80"/>
              <w:ind w:left="227" w:hanging="170"/>
            </w:pPr>
            <w:r>
              <w:rPr>
                <w:rFonts w:ascii="Arial" w:hAnsi="Arial"/>
                <w:color w:val="163258"/>
                <w:sz w:val="24"/>
              </w:rPr>
              <w:t xml:space="preserve">• </w:t>
            </w:r>
            <w:r>
              <w:rPr>
                <w:rFonts w:ascii="Arial" w:hAnsi="Arial"/>
                <w:b w:val="0"/>
                <w:i w:val="0"/>
                <w:color w:val="163258"/>
                <w:sz w:val="20"/>
              </w:rPr>
              <w:t>Überwachen der Terminpläne Koordination Test-, Defect - und Qualitätsmanagement</w:t>
            </w:r>
          </w:p>
          <w:p>
            <w:pPr>
              <w:spacing w:after="80"/>
              <w:ind w:left="227" w:hanging="170"/>
            </w:pPr>
            <w:r>
              <w:rPr>
                <w:rFonts w:ascii="Arial" w:hAnsi="Arial"/>
                <w:color w:val="163258"/>
                <w:sz w:val="24"/>
              </w:rPr>
              <w:t xml:space="preserve">• </w:t>
            </w:r>
            <w:r>
              <w:rPr>
                <w:rFonts w:ascii="Arial" w:hAnsi="Arial"/>
                <w:b w:val="0"/>
                <w:i w:val="0"/>
                <w:color w:val="163258"/>
                <w:sz w:val="20"/>
              </w:rPr>
              <w:t>ABC-Reporting</w:t>
            </w:r>
          </w:p>
          <w:p>
            <w:pPr>
              <w:spacing w:after="80"/>
              <w:ind w:left="227" w:hanging="170"/>
            </w:pPr>
            <w:r>
              <w:rPr>
                <w:rFonts w:ascii="Arial" w:hAnsi="Arial"/>
                <w:color w:val="163258"/>
                <w:sz w:val="24"/>
              </w:rPr>
              <w:t xml:space="preserve">• </w:t>
            </w:r>
            <w:r>
              <w:rPr>
                <w:rFonts w:ascii="Arial" w:hAnsi="Arial"/>
                <w:b w:val="0"/>
                <w:i w:val="0"/>
                <w:color w:val="163258"/>
                <w:sz w:val="20"/>
              </w:rPr>
              <w:t>Vorbereitung und Durchführung von Lenkungsausschüssen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10/2013 - 11/2013</w:t>
            </w:r>
            <w:r>
              <w:rPr>
                <w:sz w:val="22"/>
              </w:rPr>
              <w:tab/>
            </w:r>
            <w:r>
              <w:rPr>
                <w:rFonts w:ascii="Arial" w:hAnsi="Arial"/>
                <w:b/>
                <w:color w:val="163258"/>
                <w:sz w:val="26"/>
              </w:rPr>
              <w:t>Commerzbank AG (MSB Vertriebsunterstützung)</w:t>
            </w:r>
          </w:p>
          <w:p>
            <w:pPr>
              <w:spacing w:after="160"/>
            </w:pPr>
            <w:r>
              <w:rPr>
                <w:rFonts w:ascii="Arial" w:hAnsi="Arial"/>
                <w:b/>
                <w:i w:val="0"/>
                <w:color w:val="163258"/>
                <w:sz w:val="22"/>
              </w:rPr>
              <w:t>Testmanagement</w:t>
            </w:r>
          </w:p>
          <w:p>
            <w:pPr>
              <w:spacing w:after="80"/>
              <w:ind w:left="227" w:hanging="170"/>
            </w:pPr>
            <w:r>
              <w:rPr>
                <w:rFonts w:ascii="Arial" w:hAnsi="Arial"/>
                <w:color w:val="163258"/>
                <w:sz w:val="24"/>
              </w:rPr>
              <w:t xml:space="preserve">• </w:t>
            </w:r>
            <w:r>
              <w:rPr>
                <w:rFonts w:ascii="Arial" w:hAnsi="Arial"/>
                <w:b w:val="0"/>
                <w:i w:val="0"/>
                <w:color w:val="163258"/>
                <w:sz w:val="20"/>
              </w:rPr>
              <w:t>Einführung SEPA)</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Testmanagement zentrales Bankauskunftssystem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05/2013 - 09/2013</w:t>
            </w:r>
            <w:r>
              <w:rPr>
                <w:sz w:val="22"/>
              </w:rPr>
              <w:tab/>
            </w:r>
            <w:r>
              <w:rPr>
                <w:rFonts w:ascii="Arial" w:hAnsi="Arial"/>
                <w:b/>
                <w:color w:val="163258"/>
                <w:sz w:val="26"/>
              </w:rPr>
              <w:t>Commerzbank AG (MSB Vertriebsunterstützung)</w:t>
            </w:r>
          </w:p>
          <w:p>
            <w:pPr>
              <w:spacing w:after="160"/>
            </w:pPr>
            <w:r>
              <w:rPr>
                <w:rFonts w:ascii="Arial" w:hAnsi="Arial"/>
                <w:b/>
                <w:i w:val="0"/>
                <w:color w:val="163258"/>
                <w:sz w:val="22"/>
              </w:rPr>
              <w:t>Business-Analyst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Einführung eines neuen Systems zur Pflege der wirtschaftlichen Verbünde und Anpassung/Integration der Informationen für das CRM System/ CRM System der Mittelstandsbank Abstimmung der Schnittstellen in der IT Abstimmung mit dem Fachbereich Anforderungsanalyse und Aufwandsschätzung</w:t>
            </w:r>
          </w:p>
          <w:p>
            <w:pPr>
              <w:spacing w:after="80"/>
              <w:ind w:left="227" w:hanging="170"/>
            </w:pPr>
            <w:r>
              <w:rPr>
                <w:rFonts w:ascii="Arial" w:hAnsi="Arial"/>
                <w:color w:val="163258"/>
                <w:sz w:val="24"/>
              </w:rPr>
              <w:t xml:space="preserve">• </w:t>
            </w:r>
            <w:r>
              <w:rPr>
                <w:rFonts w:ascii="Arial" w:hAnsi="Arial"/>
                <w:b w:val="0"/>
                <w:i w:val="0"/>
                <w:color w:val="163258"/>
                <w:sz w:val="20"/>
              </w:rPr>
              <w:t>Anforderungsdokumentation / Requirement Engineering</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Reportanpassung Erarbeitung von Redesignvorschlägen für das Reporting</w:t>
            </w:r>
          </w:p>
          <w:p>
            <w:pPr>
              <w:spacing w:after="80"/>
              <w:ind w:left="227" w:hanging="170"/>
            </w:pPr>
            <w:r>
              <w:rPr>
                <w:rFonts w:ascii="Arial" w:hAnsi="Arial"/>
                <w:color w:val="163258"/>
                <w:sz w:val="24"/>
              </w:rPr>
              <w:t xml:space="preserve">• </w:t>
            </w:r>
            <w:r>
              <w:rPr>
                <w:rFonts w:ascii="Arial" w:hAnsi="Arial"/>
                <w:b w:val="0"/>
                <w:i w:val="0"/>
                <w:color w:val="163258"/>
                <w:sz w:val="20"/>
              </w:rPr>
              <w:t>Erstellung von Testcases/ Testunterstützung des Fachbereiches (HP</w:t>
            </w:r>
          </w:p>
          <w:p>
            <w:pPr>
              <w:spacing w:after="80"/>
              <w:ind w:left="227" w:hanging="170"/>
            </w:pPr>
            <w:r>
              <w:rPr>
                <w:rFonts w:ascii="Arial" w:hAnsi="Arial"/>
                <w:color w:val="163258"/>
                <w:sz w:val="24"/>
              </w:rPr>
              <w:t xml:space="preserve">• </w:t>
            </w:r>
            <w:r>
              <w:rPr>
                <w:rFonts w:ascii="Arial" w:hAnsi="Arial"/>
                <w:b w:val="0"/>
                <w:i w:val="0"/>
                <w:color w:val="163258"/>
                <w:sz w:val="20"/>
              </w:rPr>
              <w:t>Quality Center)</w:t>
            </w:r>
          </w:p>
          <w:p>
            <w:pPr>
              <w:spacing w:after="80"/>
              <w:ind w:left="227" w:hanging="170"/>
            </w:pPr>
            <w:r>
              <w:rPr>
                <w:rFonts w:ascii="Arial" w:hAnsi="Arial"/>
                <w:color w:val="163258"/>
                <w:sz w:val="24"/>
              </w:rPr>
              <w:t xml:space="preserve">• </w:t>
            </w:r>
            <w:r>
              <w:rPr>
                <w:rFonts w:ascii="Arial" w:hAnsi="Arial"/>
                <w:b w:val="0"/>
                <w:i w:val="0"/>
                <w:color w:val="163258"/>
                <w:sz w:val="20"/>
              </w:rPr>
              <w:t>HP Quality Center, Aqua Datastudio, Sybase Central, TFS, SAS BI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 Quality Center, Sybase Central, TFS, Aqua Datastudio, SAS BI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07/2012 - 04/2013</w:t>
            </w:r>
            <w:r>
              <w:rPr>
                <w:sz w:val="22"/>
              </w:rPr>
              <w:tab/>
            </w:r>
            <w:r>
              <w:rPr>
                <w:rFonts w:ascii="Arial" w:hAnsi="Arial"/>
                <w:b/>
                <w:color w:val="163258"/>
                <w:sz w:val="26"/>
              </w:rPr>
              <w:t>Commerzbank AG (Bereich Finance)</w:t>
            </w:r>
          </w:p>
          <w:p>
            <w:pPr>
              <w:spacing w:after="160"/>
            </w:pPr>
            <w:r>
              <w:rPr>
                <w:rFonts w:ascii="Arial" w:hAnsi="Arial"/>
                <w:b/>
                <w:i w:val="0"/>
                <w:color w:val="163258"/>
                <w:sz w:val="22"/>
              </w:rPr>
              <w:t>Business-Analyst</w:t>
            </w:r>
          </w:p>
          <w:p>
            <w:pPr>
              <w:spacing w:after="80"/>
              <w:ind w:left="227" w:hanging="170"/>
            </w:pPr>
            <w:r>
              <w:rPr>
                <w:rFonts w:ascii="Arial" w:hAnsi="Arial"/>
                <w:color w:val="163258"/>
                <w:sz w:val="24"/>
              </w:rPr>
              <w:t xml:space="preserve">• </w:t>
            </w:r>
            <w:r>
              <w:rPr>
                <w:rFonts w:ascii="Arial" w:hAnsi="Arial"/>
                <w:b w:val="0"/>
                <w:i w:val="0"/>
                <w:color w:val="163258"/>
                <w:sz w:val="20"/>
              </w:rPr>
              <w:t>Finance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Aufnahme der Fachbereichsdetailanforderungen Workshops / Erstellung Statement of Work</w:t>
            </w:r>
          </w:p>
          <w:p>
            <w:pPr>
              <w:spacing w:after="80"/>
              <w:ind w:left="227" w:hanging="170"/>
            </w:pPr>
            <w:r>
              <w:rPr>
                <w:rFonts w:ascii="Arial" w:hAnsi="Arial"/>
                <w:color w:val="163258"/>
                <w:sz w:val="24"/>
              </w:rPr>
              <w:t xml:space="preserve">• </w:t>
            </w:r>
            <w:r>
              <w:rPr>
                <w:rFonts w:ascii="Arial" w:hAnsi="Arial"/>
                <w:b w:val="0"/>
                <w:i w:val="0"/>
                <w:color w:val="163258"/>
                <w:sz w:val="20"/>
              </w:rPr>
              <w:t>Anforderungsdokumentation / Requirement Engineering</w:t>
            </w:r>
          </w:p>
          <w:p>
            <w:pPr>
              <w:spacing w:after="80"/>
              <w:ind w:left="227" w:hanging="170"/>
            </w:pPr>
            <w:r>
              <w:rPr>
                <w:rFonts w:ascii="Arial" w:hAnsi="Arial"/>
                <w:color w:val="163258"/>
                <w:sz w:val="24"/>
              </w:rPr>
              <w:t xml:space="preserve">• </w:t>
            </w:r>
            <w:r>
              <w:rPr>
                <w:rFonts w:ascii="Arial" w:hAnsi="Arial"/>
                <w:b w:val="0"/>
                <w:i w:val="0"/>
                <w:color w:val="163258"/>
                <w:sz w:val="20"/>
              </w:rPr>
              <w:t>Design/Konzeptionierung der Umsetzung Erstellung von Testcases / Testunterstützung des Fachbereiches (HP Quality Center)</w:t>
            </w:r>
          </w:p>
          <w:p>
            <w:pPr>
              <w:spacing w:after="80"/>
              <w:ind w:left="227" w:hanging="170"/>
            </w:pPr>
            <w:r>
              <w:rPr>
                <w:rFonts w:ascii="Arial" w:hAnsi="Arial"/>
                <w:color w:val="163258"/>
                <w:sz w:val="24"/>
              </w:rPr>
              <w:t xml:space="preserve">• </w:t>
            </w:r>
            <w:r>
              <w:rPr>
                <w:rFonts w:ascii="Arial" w:hAnsi="Arial"/>
                <w:b w:val="0"/>
                <w:i w:val="0"/>
                <w:color w:val="163258"/>
                <w:sz w:val="20"/>
              </w:rPr>
              <w:t>Quality Center)</w:t>
            </w:r>
          </w:p>
          <w:p>
            <w:pPr>
              <w:spacing w:after="80"/>
              <w:ind w:left="227" w:hanging="170"/>
            </w:pPr>
            <w:r>
              <w:rPr>
                <w:rFonts w:ascii="Arial" w:hAnsi="Arial"/>
                <w:color w:val="163258"/>
                <w:sz w:val="24"/>
              </w:rPr>
              <w:t xml:space="preserve">• </w:t>
            </w:r>
            <w:r>
              <w:rPr>
                <w:rFonts w:ascii="Arial" w:hAnsi="Arial"/>
                <w:b w:val="0"/>
                <w:i w:val="0"/>
                <w:color w:val="163258"/>
                <w:sz w:val="20"/>
              </w:rPr>
              <w:t>Abstimmung mit dem Fachbereich und Koordination Datenbankentwicklung/GUI Entwicklung (in Prag)</w:t>
            </w:r>
          </w:p>
          <w:p>
            <w:pPr>
              <w:spacing w:after="80"/>
              <w:ind w:left="227" w:hanging="170"/>
            </w:pPr>
            <w:r>
              <w:rPr>
                <w:rFonts w:ascii="Arial" w:hAnsi="Arial"/>
                <w:color w:val="163258"/>
                <w:sz w:val="24"/>
              </w:rPr>
              <w:t xml:space="preserve">• </w:t>
            </w:r>
            <w:r>
              <w:rPr>
                <w:rFonts w:ascii="Arial" w:hAnsi="Arial"/>
                <w:b w:val="0"/>
                <w:i w:val="0"/>
                <w:color w:val="163258"/>
                <w:sz w:val="20"/>
              </w:rPr>
              <w:t>Entwicklung (in Prag)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 Quality Center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03/2012 - 06/2012</w:t>
            </w:r>
            <w:r>
              <w:rPr>
                <w:sz w:val="22"/>
              </w:rPr>
              <w:tab/>
            </w:r>
            <w:r>
              <w:rPr>
                <w:rFonts w:ascii="Arial" w:hAnsi="Arial"/>
                <w:b/>
                <w:color w:val="163258"/>
                <w:sz w:val="26"/>
              </w:rPr>
              <w:t>SEB AG (Bereich Finance)</w:t>
            </w:r>
          </w:p>
          <w:p>
            <w:pPr>
              <w:spacing w:after="160"/>
            </w:pPr>
            <w:r>
              <w:rPr>
                <w:rFonts w:ascii="Arial" w:hAnsi="Arial"/>
                <w:b/>
                <w:i w:val="0"/>
                <w:color w:val="163258"/>
                <w:sz w:val="22"/>
              </w:rPr>
              <w:t>Business-Analyst / Entwicklung</w:t>
            </w:r>
          </w:p>
          <w:p>
            <w:pPr>
              <w:spacing w:after="80"/>
              <w:ind w:left="227" w:hanging="170"/>
            </w:pPr>
            <w:r>
              <w:rPr>
                <w:rFonts w:ascii="Arial" w:hAnsi="Arial"/>
                <w:color w:val="163258"/>
                <w:sz w:val="24"/>
              </w:rPr>
              <w:t xml:space="preserve">• </w:t>
            </w:r>
            <w:r>
              <w:rPr>
                <w:rFonts w:ascii="Arial" w:hAnsi="Arial"/>
                <w:b w:val="0"/>
                <w:i w:val="0"/>
                <w:color w:val="163258"/>
                <w:sz w:val="20"/>
              </w:rPr>
              <w:t>Calypso als neues BO System</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Aufnahme / Analyse der Fachbereichsanforderung (unterstützende BA Tätigkeit)</w:t>
            </w:r>
          </w:p>
          <w:p>
            <w:pPr>
              <w:spacing w:after="80"/>
              <w:ind w:left="227" w:hanging="170"/>
            </w:pPr>
            <w:r>
              <w:rPr>
                <w:rFonts w:ascii="Arial" w:hAnsi="Arial"/>
                <w:color w:val="163258"/>
                <w:sz w:val="24"/>
              </w:rPr>
              <w:t xml:space="preserve">• </w:t>
            </w:r>
            <w:r>
              <w:rPr>
                <w:rFonts w:ascii="Arial" w:hAnsi="Arial"/>
                <w:b w:val="0"/>
                <w:i w:val="0"/>
                <w:color w:val="163258"/>
                <w:sz w:val="20"/>
              </w:rPr>
              <w:t>Tätigkeit)</w:t>
            </w:r>
          </w:p>
          <w:p>
            <w:pPr>
              <w:spacing w:after="80"/>
              <w:ind w:left="227" w:hanging="170"/>
            </w:pPr>
            <w:r>
              <w:rPr>
                <w:rFonts w:ascii="Arial" w:hAnsi="Arial"/>
                <w:color w:val="163258"/>
                <w:sz w:val="24"/>
              </w:rPr>
              <w:t xml:space="preserve">• </w:t>
            </w:r>
            <w:r>
              <w:rPr>
                <w:rFonts w:ascii="Arial" w:hAnsi="Arial"/>
                <w:b w:val="0"/>
                <w:i w:val="0"/>
                <w:color w:val="163258"/>
                <w:sz w:val="20"/>
              </w:rPr>
              <w:t>Erstellen und Abstimmung der Testcases (HPQC)</w:t>
            </w:r>
          </w:p>
          <w:p>
            <w:pPr>
              <w:spacing w:after="80"/>
              <w:ind w:left="227" w:hanging="170"/>
            </w:pPr>
            <w:r>
              <w:rPr>
                <w:rFonts w:ascii="Arial" w:hAnsi="Arial"/>
                <w:color w:val="163258"/>
                <w:sz w:val="24"/>
              </w:rPr>
              <w:t xml:space="preserve">• </w:t>
            </w:r>
            <w:r>
              <w:rPr>
                <w:rFonts w:ascii="Arial" w:hAnsi="Arial"/>
                <w:b w:val="0"/>
                <w:i w:val="0"/>
                <w:color w:val="163258"/>
                <w:sz w:val="20"/>
              </w:rPr>
              <w:t>Entwicklung eines modularisiertem Abstimmungstool zum Abgleich verschiedenster Zinsprodukte und deren Parameter zwischen verschiedenen Liefersystemen</w:t>
            </w:r>
          </w:p>
          <w:p>
            <w:pPr>
              <w:spacing w:after="80"/>
              <w:ind w:left="227" w:hanging="170"/>
            </w:pPr>
            <w:r>
              <w:rPr>
                <w:rFonts w:ascii="Arial" w:hAnsi="Arial"/>
                <w:color w:val="163258"/>
                <w:sz w:val="24"/>
              </w:rPr>
              <w:t xml:space="preserve">• </w:t>
            </w:r>
            <w:r>
              <w:rPr>
                <w:rFonts w:ascii="Arial" w:hAnsi="Arial"/>
                <w:b w:val="0"/>
                <w:i w:val="0"/>
                <w:color w:val="163258"/>
                <w:sz w:val="20"/>
              </w:rPr>
              <w:t>Liefersystemen</w:t>
            </w:r>
          </w:p>
          <w:p>
            <w:pPr>
              <w:spacing w:after="80"/>
              <w:ind w:left="227" w:hanging="170"/>
            </w:pPr>
            <w:r>
              <w:rPr>
                <w:rFonts w:ascii="Arial" w:hAnsi="Arial"/>
                <w:color w:val="163258"/>
                <w:sz w:val="24"/>
              </w:rPr>
              <w:t xml:space="preserve">• </w:t>
            </w:r>
            <w:r>
              <w:rPr>
                <w:rFonts w:ascii="Arial" w:hAnsi="Arial"/>
                <w:b w:val="0"/>
                <w:i w:val="0"/>
                <w:color w:val="163258"/>
                <w:sz w:val="20"/>
              </w:rPr>
              <w:t>Access, HP Quality Center, Calypso, Summit, Murex</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 Quality Center, Access, Calypso, Summit, Murex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08/2009 - 03/2012</w:t>
            </w:r>
            <w:r>
              <w:rPr>
                <w:sz w:val="22"/>
              </w:rPr>
              <w:tab/>
            </w:r>
            <w:r>
              <w:rPr>
                <w:rFonts w:ascii="Arial" w:hAnsi="Arial"/>
                <w:b/>
                <w:color w:val="163258"/>
                <w:sz w:val="26"/>
              </w:rPr>
              <w:t>Commerzbank AG (Bereich IB Finance)</w:t>
            </w:r>
          </w:p>
          <w:p>
            <w:pPr>
              <w:spacing w:after="160"/>
            </w:pPr>
            <w:r>
              <w:rPr>
                <w:rFonts w:ascii="Arial" w:hAnsi="Arial"/>
                <w:b/>
                <w:i w:val="0"/>
                <w:color w:val="163258"/>
                <w:sz w:val="22"/>
              </w:rPr>
              <w:t>Businessanalys / Datenanalyse / Entwicklung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Businessanalys / Datenanalyse / Entwicklung Migration Commerzbank AG/Dresdner Bank AG; Anbindung der Dresdner Bank Systeme u. Weiterentwicklung der zentralen P&amp;L Anwendung im Bereich Finance</w:t>
            </w:r>
          </w:p>
          <w:p>
            <w:pPr>
              <w:spacing w:after="80"/>
              <w:ind w:left="227" w:hanging="170"/>
            </w:pPr>
            <w:r>
              <w:rPr>
                <w:rFonts w:ascii="Arial" w:hAnsi="Arial"/>
                <w:color w:val="163258"/>
                <w:sz w:val="24"/>
              </w:rPr>
              <w:t xml:space="preserve">• </w:t>
            </w:r>
            <w:r>
              <w:rPr>
                <w:rFonts w:ascii="Arial" w:hAnsi="Arial"/>
                <w:b w:val="0"/>
                <w:i w:val="0"/>
                <w:color w:val="163258"/>
                <w:sz w:val="20"/>
              </w:rPr>
              <w:t>Bank AG; Anbindung der Dresdner Bank Systeme u. Weiterentwicklung der zentralen P&amp;L Anwendung im Bereich Finance</w:t>
            </w:r>
          </w:p>
          <w:p>
            <w:pPr>
              <w:spacing w:after="80"/>
              <w:ind w:left="227" w:hanging="170"/>
            </w:pPr>
            <w:r>
              <w:rPr>
                <w:rFonts w:ascii="Arial" w:hAnsi="Arial"/>
                <w:color w:val="163258"/>
                <w:sz w:val="24"/>
              </w:rPr>
              <w:t xml:space="preserve">• </w:t>
            </w:r>
            <w:r>
              <w:rPr>
                <w:rFonts w:ascii="Arial" w:hAnsi="Arial"/>
                <w:b w:val="0"/>
                <w:i w:val="0"/>
                <w:color w:val="163258"/>
                <w:sz w:val="20"/>
              </w:rPr>
              <w:t>Aufnahme der Fachbereichsdetailanforderungen (BA Tätigkeit)</w:t>
            </w:r>
          </w:p>
          <w:p>
            <w:pPr>
              <w:spacing w:after="80"/>
              <w:ind w:left="227" w:hanging="170"/>
            </w:pPr>
            <w:r>
              <w:rPr>
                <w:rFonts w:ascii="Arial" w:hAnsi="Arial"/>
                <w:color w:val="163258"/>
                <w:sz w:val="24"/>
              </w:rPr>
              <w:t xml:space="preserve">• </w:t>
            </w:r>
            <w:r>
              <w:rPr>
                <w:rFonts w:ascii="Arial" w:hAnsi="Arial"/>
                <w:b w:val="0"/>
                <w:i w:val="0"/>
                <w:color w:val="163258"/>
                <w:sz w:val="20"/>
              </w:rPr>
              <w:t>Entwicklung neuer, Anpassung bestehender Schnittstellen (Im- und Export)</w:t>
            </w:r>
          </w:p>
          <w:p>
            <w:pPr>
              <w:spacing w:after="80"/>
              <w:ind w:left="227" w:hanging="170"/>
            </w:pPr>
            <w:r>
              <w:rPr>
                <w:rFonts w:ascii="Arial" w:hAnsi="Arial"/>
                <w:color w:val="163258"/>
                <w:sz w:val="24"/>
              </w:rPr>
              <w:t xml:space="preserve">• </w:t>
            </w:r>
            <w:r>
              <w:rPr>
                <w:rFonts w:ascii="Arial" w:hAnsi="Arial"/>
                <w:b w:val="0"/>
                <w:i w:val="0"/>
                <w:color w:val="163258"/>
                <w:sz w:val="20"/>
              </w:rPr>
              <w:t>Analysen der Migrationsdaten verschiedenster Frontofficesysteme (Summit, Kondor, Murex Currency/Derivatives, Loantrak, Swordfish, Martini, Bloomberg,etc.)</w:t>
            </w:r>
          </w:p>
          <w:p>
            <w:pPr>
              <w:spacing w:after="80"/>
              <w:ind w:left="227" w:hanging="170"/>
            </w:pPr>
            <w:r>
              <w:rPr>
                <w:rFonts w:ascii="Arial" w:hAnsi="Arial"/>
                <w:color w:val="163258"/>
                <w:sz w:val="24"/>
              </w:rPr>
              <w:t xml:space="preserve">• </w:t>
            </w:r>
            <w:r>
              <w:rPr>
                <w:rFonts w:ascii="Arial" w:hAnsi="Arial"/>
                <w:b w:val="0"/>
                <w:i w:val="0"/>
                <w:color w:val="163258"/>
                <w:sz w:val="20"/>
              </w:rPr>
              <w:t>Kondor, Murex Currency/Derivatives, Loantrak, Swordfish, Martini,</w:t>
            </w:r>
          </w:p>
          <w:p>
            <w:pPr>
              <w:spacing w:after="80"/>
              <w:ind w:left="227" w:hanging="170"/>
            </w:pPr>
            <w:r>
              <w:rPr>
                <w:rFonts w:ascii="Arial" w:hAnsi="Arial"/>
                <w:color w:val="163258"/>
                <w:sz w:val="24"/>
              </w:rPr>
              <w:t xml:space="preserve">• </w:t>
            </w:r>
            <w:r>
              <w:rPr>
                <w:rFonts w:ascii="Arial" w:hAnsi="Arial"/>
                <w:b w:val="0"/>
                <w:i w:val="0"/>
                <w:color w:val="163258"/>
                <w:sz w:val="20"/>
              </w:rPr>
              <w:t>Bloomberg,etc.)</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Summit, Kondor, Martini, Bloomberg, Murex Currency/Derivatives, Loantrak, Swordfish</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08/2008 - 07/2009</w:t>
            </w:r>
            <w:r>
              <w:rPr>
                <w:sz w:val="22"/>
              </w:rPr>
              <w:tab/>
            </w:r>
            <w:r>
              <w:rPr>
                <w:rFonts w:ascii="Arial" w:hAnsi="Arial"/>
                <w:b/>
                <w:color w:val="163258"/>
                <w:sz w:val="26"/>
              </w:rPr>
              <w:t>Deutsche Börse AG</w:t>
            </w:r>
          </w:p>
          <w:p>
            <w:pPr>
              <w:spacing w:after="160"/>
            </w:pPr>
            <w:r>
              <w:rPr>
                <w:rFonts w:ascii="Arial" w:hAnsi="Arial"/>
                <w:b/>
                <w:i w:val="0"/>
                <w:color w:val="163258"/>
                <w:sz w:val="22"/>
              </w:rPr>
              <w:t>Technische Konzeptionierung und Design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Technische Konzeptionierung und Design, Produktentwicklung / Datenanalyse * zum Aufbau eines Realtimedatawarehouses * zur Sammlung und Aufbereitung von Fundamentaldaten aus dem Energiemarkt In direkter Zusammenarbeit mit dem Fachbereich wurde ein neues, kommerzielles Produkt entwickelt, welches Daten aus dem internationalen Energiehandel (Strom) realtime einsammelt (Internet/FTP,etc),aufbereitet, aggregiert, Prognosen erstellt und im Web zur Verfügung stellt.</w:t>
            </w:r>
          </w:p>
          <w:p>
            <w:pPr>
              <w:spacing w:after="80"/>
              <w:ind w:left="227" w:hanging="170"/>
            </w:pPr>
            <w:r>
              <w:rPr>
                <w:rFonts w:ascii="Arial" w:hAnsi="Arial"/>
                <w:color w:val="163258"/>
                <w:sz w:val="24"/>
              </w:rPr>
              <w:t xml:space="preserve">• </w:t>
            </w:r>
            <w:r>
              <w:rPr>
                <w:rFonts w:ascii="Arial" w:hAnsi="Arial"/>
                <w:b w:val="0"/>
                <w:i w:val="0"/>
                <w:color w:val="163258"/>
                <w:sz w:val="20"/>
              </w:rPr>
              <w:t>Meine Aufgabe waren hierbei:</w:t>
            </w:r>
          </w:p>
          <w:p>
            <w:pPr>
              <w:spacing w:after="80"/>
              <w:ind w:left="227" w:hanging="170"/>
            </w:pPr>
            <w:r>
              <w:rPr>
                <w:rFonts w:ascii="Arial" w:hAnsi="Arial"/>
                <w:color w:val="163258"/>
                <w:sz w:val="24"/>
              </w:rPr>
              <w:t xml:space="preserve">• </w:t>
            </w:r>
            <w:r>
              <w:rPr>
                <w:rFonts w:ascii="Arial" w:hAnsi="Arial"/>
                <w:b w:val="0"/>
                <w:i w:val="0"/>
                <w:color w:val="163258"/>
                <w:sz w:val="20"/>
              </w:rPr>
              <w:t>Aufnahme der Fachbereichsanforderung Schnittstelle zum Fachbereich und der technischen Umsetzung (in Frankfurt und in Prag)</w:t>
            </w:r>
          </w:p>
          <w:p>
            <w:pPr>
              <w:spacing w:after="80"/>
              <w:ind w:left="227" w:hanging="170"/>
            </w:pPr>
            <w:r>
              <w:rPr>
                <w:rFonts w:ascii="Arial" w:hAnsi="Arial"/>
                <w:color w:val="163258"/>
                <w:sz w:val="24"/>
              </w:rPr>
              <w:t xml:space="preserve">• </w:t>
            </w:r>
            <w:r>
              <w:rPr>
                <w:rFonts w:ascii="Arial" w:hAnsi="Arial"/>
                <w:b w:val="0"/>
                <w:i w:val="0"/>
                <w:color w:val="163258"/>
                <w:sz w:val="20"/>
              </w:rPr>
              <w:t>Aufbau des Datawarehouses (Konzeptionierung, Auswahl und Aufbau der technischen Architektur, Datenmodelierung und Entwicklung), Import, Aggregation, Verteilung, sowie die Unterstützung beim Grabben der Daten</w:t>
            </w:r>
          </w:p>
          <w:p>
            <w:pPr>
              <w:spacing w:after="80"/>
              <w:ind w:left="227" w:hanging="170"/>
            </w:pPr>
            <w:r>
              <w:rPr>
                <w:rFonts w:ascii="Arial" w:hAnsi="Arial"/>
                <w:color w:val="163258"/>
                <w:sz w:val="24"/>
              </w:rPr>
              <w:t xml:space="preserve">• </w:t>
            </w:r>
            <w:r>
              <w:rPr>
                <w:rFonts w:ascii="Arial" w:hAnsi="Arial"/>
                <w:b w:val="0"/>
                <w:i w:val="0"/>
                <w:color w:val="163258"/>
                <w:sz w:val="20"/>
              </w:rPr>
              <w:t>Aggregation,Verteilung, sowie die Unterstützung beim Grabben der Daten. Anmerkung</w:t>
            </w:r>
          </w:p>
          <w:p>
            <w:pPr>
              <w:spacing w:after="80"/>
              <w:ind w:left="227" w:hanging="170"/>
            </w:pPr>
            <w:r>
              <w:rPr>
                <w:rFonts w:ascii="Arial" w:hAnsi="Arial"/>
                <w:color w:val="163258"/>
                <w:sz w:val="24"/>
              </w:rPr>
              <w:t xml:space="preserve">• </w:t>
            </w:r>
            <w:r>
              <w:rPr>
                <w:rFonts w:ascii="Arial" w:hAnsi="Arial"/>
                <w:b w:val="0"/>
                <w:i w:val="0"/>
                <w:color w:val="163258"/>
                <w:sz w:val="20"/>
              </w:rPr>
              <w:t>Das entwickelte System wird kommerziell betrieben, wurde im Februar 2009 auf der Messe EWorld 2009 vorgestellt</w:t>
            </w:r>
          </w:p>
          <w:p>
            <w:pPr>
              <w:spacing w:after="80"/>
              <w:ind w:left="227" w:hanging="170"/>
            </w:pPr>
            <w:r>
              <w:rPr>
                <w:rFonts w:ascii="Arial" w:hAnsi="Arial"/>
                <w:color w:val="163258"/>
                <w:sz w:val="24"/>
              </w:rPr>
              <w:t xml:space="preserve">• </w:t>
            </w:r>
            <w:r>
              <w:rPr>
                <w:rFonts w:ascii="Arial" w:hAnsi="Arial"/>
                <w:b w:val="0"/>
                <w:i w:val="0"/>
                <w:color w:val="163258"/>
                <w:sz w:val="20"/>
              </w:rPr>
              <w:t>Oracle 10, Toad, Grabbingtool (Kapow)</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10, Toad, Kapow</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01/2008 - 07/2008</w:t>
            </w:r>
            <w:r>
              <w:rPr>
                <w:sz w:val="22"/>
              </w:rPr>
              <w:tab/>
            </w:r>
            <w:r>
              <w:rPr>
                <w:rFonts w:ascii="Arial" w:hAnsi="Arial"/>
                <w:b/>
                <w:color w:val="163258"/>
                <w:sz w:val="26"/>
              </w:rPr>
              <w:t>Commerzbank AG Frankfurt (Global Finance)</w:t>
            </w:r>
          </w:p>
          <w:p>
            <w:pPr>
              <w:spacing w:after="160"/>
            </w:pPr>
            <w:r>
              <w:rPr>
                <w:rFonts w:ascii="Arial" w:hAnsi="Arial"/>
                <w:b/>
                <w:i w:val="0"/>
                <w:color w:val="163258"/>
                <w:sz w:val="22"/>
              </w:rPr>
              <w:t>Datenanalyse / Weiterentwicklung im Projekt Monthly P&amp;L</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 Zusammenarbeit mit dem Fachbereich Aufnahme der Anforderung zur Definition von Differenzenreports (Walktrough), die aus der Abstimmung von Frontoffice / Backoffice und Ledgersystemen generiert werden sollen sowie die Umsetzung der Reports auf der Datenbankseite. Kleinere Anpassungen im (Web-)Frontend</w:t>
            </w:r>
          </w:p>
          <w:p>
            <w:pPr>
              <w:spacing w:after="80"/>
              <w:ind w:left="227" w:hanging="170"/>
            </w:pPr>
            <w:r>
              <w:rPr>
                <w:rFonts w:ascii="Arial" w:hAnsi="Arial"/>
                <w:color w:val="163258"/>
                <w:sz w:val="24"/>
              </w:rPr>
              <w:t xml:space="preserve">• </w:t>
            </w:r>
            <w:r>
              <w:rPr>
                <w:rFonts w:ascii="Arial" w:hAnsi="Arial"/>
                <w:b w:val="0"/>
                <w:i w:val="0"/>
                <w:color w:val="163258"/>
                <w:sz w:val="20"/>
              </w:rPr>
              <w:t>Sybase IQ 12.6, Sybase Central, Sybase ISQL, Clearcase, HP Quality Center,</w:t>
            </w:r>
          </w:p>
          <w:p>
            <w:pPr>
              <w:spacing w:after="80"/>
              <w:ind w:left="227" w:hanging="170"/>
            </w:pPr>
            <w:r>
              <w:rPr>
                <w:rFonts w:ascii="Arial" w:hAnsi="Arial"/>
                <w:color w:val="163258"/>
                <w:sz w:val="24"/>
              </w:rPr>
              <w:t xml:space="preserve">• </w:t>
            </w:r>
            <w:r>
              <w:rPr>
                <w:rFonts w:ascii="Arial" w:hAnsi="Arial"/>
                <w:b w:val="0"/>
                <w:i w:val="0"/>
                <w:color w:val="163258"/>
                <w:sz w:val="20"/>
              </w:rPr>
              <w:t>Watcom SQL, T-SQL, C#, ASP.net</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 Quality Center, Sybase Central, Clearcase, Watcom SQL, T-SQL, C#, ASP.net, Sybase IQ 12.6, Sybase ISQL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05/2007 - 11/2007</w:t>
            </w:r>
            <w:r>
              <w:rPr>
                <w:sz w:val="22"/>
              </w:rPr>
              <w:tab/>
            </w:r>
            <w:r>
              <w:rPr>
                <w:rFonts w:ascii="Arial" w:hAnsi="Arial"/>
                <w:b/>
                <w:color w:val="163258"/>
                <w:sz w:val="26"/>
              </w:rPr>
              <w:t>SEB AG (Handelsabwicklung)</w:t>
            </w:r>
          </w:p>
          <w:p>
            <w:pPr>
              <w:spacing w:after="160"/>
            </w:pPr>
            <w:r>
              <w:rPr>
                <w:rFonts w:ascii="Arial" w:hAnsi="Arial"/>
                <w:b/>
                <w:i w:val="0"/>
                <w:color w:val="163258"/>
                <w:sz w:val="22"/>
              </w:rPr>
              <w:t>Migration von SWAPS aus SAP (MARK) nach Kondor+ / Opics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Analyse und Umsetzung der Migration von Swapdeals anläßlich eines Systemwechsels.</w:t>
            </w:r>
          </w:p>
          <w:p>
            <w:pPr>
              <w:spacing w:after="80"/>
              <w:ind w:left="227" w:hanging="170"/>
            </w:pPr>
            <w:r>
              <w:rPr>
                <w:rFonts w:ascii="Arial" w:hAnsi="Arial"/>
                <w:color w:val="163258"/>
                <w:sz w:val="24"/>
              </w:rPr>
              <w:t xml:space="preserve">• </w:t>
            </w:r>
            <w:r>
              <w:rPr>
                <w:rFonts w:ascii="Arial" w:hAnsi="Arial"/>
                <w:b w:val="0"/>
                <w:i w:val="0"/>
                <w:color w:val="163258"/>
                <w:sz w:val="20"/>
              </w:rPr>
              <w:t>Systemwechsels.</w:t>
            </w:r>
          </w:p>
          <w:p>
            <w:pPr>
              <w:spacing w:after="80"/>
              <w:ind w:left="227" w:hanging="170"/>
            </w:pPr>
            <w:r>
              <w:rPr>
                <w:rFonts w:ascii="Arial" w:hAnsi="Arial"/>
                <w:color w:val="163258"/>
                <w:sz w:val="24"/>
              </w:rPr>
              <w:t xml:space="preserve">• </w:t>
            </w:r>
            <w:r>
              <w:rPr>
                <w:rFonts w:ascii="Arial" w:hAnsi="Arial"/>
                <w:b w:val="0"/>
                <w:i w:val="0"/>
                <w:color w:val="163258"/>
                <w:sz w:val="20"/>
              </w:rPr>
              <w:t>Unterstützung und Analysen für die Bereiche Treasury, Riskcontrolling, Accounting, Finance und Meldewesen.</w:t>
            </w:r>
          </w:p>
          <w:p>
            <w:pPr>
              <w:spacing w:after="80"/>
              <w:ind w:left="227" w:hanging="170"/>
            </w:pPr>
            <w:r>
              <w:rPr>
                <w:rFonts w:ascii="Arial" w:hAnsi="Arial"/>
                <w:color w:val="163258"/>
                <w:sz w:val="24"/>
              </w:rPr>
              <w:t xml:space="preserve">• </w:t>
            </w:r>
            <w:r>
              <w:rPr>
                <w:rFonts w:ascii="Arial" w:hAnsi="Arial"/>
                <w:b w:val="0"/>
                <w:i w:val="0"/>
                <w:color w:val="163258"/>
                <w:sz w:val="20"/>
              </w:rPr>
              <w:t>Accounting, Finance und Meldewesen.</w:t>
            </w:r>
          </w:p>
          <w:p>
            <w:pPr>
              <w:spacing w:after="80"/>
              <w:ind w:left="227" w:hanging="170"/>
            </w:pPr>
            <w:r>
              <w:rPr>
                <w:rFonts w:ascii="Arial" w:hAnsi="Arial"/>
                <w:color w:val="163258"/>
                <w:sz w:val="24"/>
              </w:rPr>
              <w:t xml:space="preserve">• </w:t>
            </w:r>
            <w:r>
              <w:rPr>
                <w:rFonts w:ascii="Arial" w:hAnsi="Arial"/>
                <w:b w:val="0"/>
                <w:i w:val="0"/>
                <w:color w:val="163258"/>
                <w:sz w:val="20"/>
              </w:rPr>
              <w:t>Das Projekt wurde Abteilungsübergreifend durchgeführt, inkl. aller Schritte vom Closen bis zur Neuanlage der Swaps.</w:t>
            </w:r>
          </w:p>
          <w:p>
            <w:pPr>
              <w:spacing w:after="80"/>
              <w:ind w:left="227" w:hanging="170"/>
            </w:pPr>
            <w:r>
              <w:rPr>
                <w:rFonts w:ascii="Arial" w:hAnsi="Arial"/>
                <w:color w:val="163258"/>
                <w:sz w:val="24"/>
              </w:rPr>
              <w:t xml:space="preserve">• </w:t>
            </w:r>
            <w:r>
              <w:rPr>
                <w:rFonts w:ascii="Arial" w:hAnsi="Arial"/>
                <w:b w:val="0"/>
                <w:i w:val="0"/>
                <w:color w:val="163258"/>
                <w:sz w:val="20"/>
              </w:rPr>
              <w:t>Schritte vom Closen bis zur Neuanlage der Swaps. Abgleich der Vertragsdetails, sowie der einzelnen Cashflows.</w:t>
            </w:r>
          </w:p>
          <w:p>
            <w:pPr>
              <w:spacing w:after="80"/>
              <w:ind w:left="227" w:hanging="170"/>
            </w:pPr>
            <w:r>
              <w:rPr>
                <w:rFonts w:ascii="Arial" w:hAnsi="Arial"/>
                <w:color w:val="163258"/>
                <w:sz w:val="24"/>
              </w:rPr>
              <w:t xml:space="preserve">• </w:t>
            </w:r>
            <w:r>
              <w:rPr>
                <w:rFonts w:ascii="Arial" w:hAnsi="Arial"/>
                <w:b w:val="0"/>
                <w:i w:val="0"/>
                <w:color w:val="163258"/>
                <w:sz w:val="20"/>
              </w:rPr>
              <w:t>Behandlung der Deals in IFRS (Hedgeaccounting), Abstimmung in den Systemen SAP, Kondor+, OPICS und weiterer interner Anwendungen.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SAP, MARK, Kondor+, IFRS, Opics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02/2007 - 05/2007</w:t>
            </w:r>
            <w:r>
              <w:rPr>
                <w:sz w:val="22"/>
              </w:rPr>
              <w:tab/>
            </w:r>
            <w:r>
              <w:rPr>
                <w:rFonts w:ascii="Arial" w:hAnsi="Arial"/>
                <w:b/>
                <w:color w:val="163258"/>
                <w:sz w:val="26"/>
              </w:rPr>
              <w:t>DZ AG (Rechnungswesen - Group Finance)</w:t>
            </w:r>
          </w:p>
          <w:p>
            <w:pPr>
              <w:spacing w:after="160"/>
            </w:pPr>
            <w:r>
              <w:rPr>
                <w:rFonts w:ascii="Arial" w:hAnsi="Arial"/>
                <w:b/>
                <w:i w:val="0"/>
                <w:color w:val="163258"/>
                <w:sz w:val="22"/>
              </w:rPr>
              <w:t>IFRS Hedge Accounting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Testunterstützung / Analysen von SAP Daten / Daten aus Eigenentwicklung auf Oraclebasis</w:t>
            </w:r>
          </w:p>
          <w:p>
            <w:pPr>
              <w:spacing w:after="80"/>
              <w:ind w:left="227" w:hanging="170"/>
            </w:pPr>
            <w:r>
              <w:rPr>
                <w:rFonts w:ascii="Arial" w:hAnsi="Arial"/>
                <w:color w:val="163258"/>
                <w:sz w:val="24"/>
              </w:rPr>
              <w:t xml:space="preserve">• </w:t>
            </w:r>
            <w:r>
              <w:rPr>
                <w:rFonts w:ascii="Arial" w:hAnsi="Arial"/>
                <w:b w:val="0"/>
                <w:i w:val="0"/>
                <w:color w:val="163258"/>
                <w:sz w:val="20"/>
              </w:rPr>
              <w:t>VBAtechnische Aufbereitung von Murexdaten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10g, Access 2003, Excel 2003, VBA, Windows XP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10/2006 - 01/2007</w:t>
            </w:r>
            <w:r>
              <w:rPr>
                <w:sz w:val="22"/>
              </w:rPr>
              <w:tab/>
            </w:r>
            <w:r>
              <w:rPr>
                <w:rFonts w:ascii="Arial" w:hAnsi="Arial"/>
                <w:b/>
                <w:color w:val="163258"/>
                <w:sz w:val="26"/>
              </w:rPr>
              <w:t>Dresdner Bank AG (Risikocontrolling - Liquiditätsrisiko)</w:t>
            </w:r>
          </w:p>
          <w:p>
            <w:pPr>
              <w:spacing w:after="160"/>
            </w:pPr>
            <w:r>
              <w:rPr>
                <w:rFonts w:ascii="Arial" w:hAnsi="Arial"/>
                <w:b/>
                <w:i w:val="0"/>
                <w:color w:val="163258"/>
                <w:sz w:val="22"/>
              </w:rPr>
              <w:t>Weiterentwicklung / Wartung der Oracleanwendung zur</w:t>
            </w:r>
          </w:p>
          <w:p>
            <w:pPr>
              <w:spacing w:after="80"/>
              <w:ind w:left="227" w:hanging="170"/>
            </w:pPr>
            <w:r>
              <w:rPr>
                <w:rFonts w:ascii="Arial" w:hAnsi="Arial"/>
                <w:color w:val="163258"/>
                <w:sz w:val="24"/>
              </w:rPr>
              <w:t xml:space="preserve">• </w:t>
            </w:r>
            <w:r>
              <w:rPr>
                <w:rFonts w:ascii="Arial" w:hAnsi="Arial"/>
                <w:b w:val="0"/>
                <w:i w:val="0"/>
                <w:color w:val="163258"/>
                <w:sz w:val="20"/>
              </w:rPr>
              <w:t>Überwachung der Konzernfinanzierung fachliche Unterstützung des Monitorings und Reportings für das Liquiditätsmanagement (Limitüberwachung / P&amp;L)</w:t>
            </w:r>
          </w:p>
          <w:p>
            <w:pPr>
              <w:spacing w:after="80"/>
              <w:ind w:left="227" w:hanging="170"/>
            </w:pPr>
            <w:r>
              <w:rPr>
                <w:rFonts w:ascii="Arial" w:hAnsi="Arial"/>
                <w:color w:val="163258"/>
                <w:sz w:val="24"/>
              </w:rPr>
              <w:t xml:space="preserve">• </w:t>
            </w:r>
            <w:r>
              <w:rPr>
                <w:rFonts w:ascii="Arial" w:hAnsi="Arial"/>
                <w:b w:val="0"/>
                <w:i w:val="0"/>
                <w:color w:val="163258"/>
                <w:sz w:val="20"/>
              </w:rPr>
              <w:t>Aufgaben: technische Entwicklung fachliches Monitoring und Reporting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PL/SQL Developer, Oracle 10g, Windows XP, Access 2000, PL/SQL Deverloper, Powerbuilder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07/2005 - 10/2006</w:t>
            </w:r>
            <w:r>
              <w:rPr>
                <w:sz w:val="22"/>
              </w:rPr>
              <w:tab/>
            </w:r>
            <w:r>
              <w:rPr>
                <w:rFonts w:ascii="Arial" w:hAnsi="Arial"/>
                <w:b/>
                <w:color w:val="163258"/>
                <w:sz w:val="26"/>
              </w:rPr>
              <w:t>Dresdner Bank AG Frankfurt (Risikocontrolling - Liquiditätsrisiko)</w:t>
            </w:r>
          </w:p>
          <w:p>
            <w:pPr>
              <w:spacing w:after="160"/>
            </w:pPr>
            <w:r>
              <w:rPr>
                <w:rFonts w:ascii="Arial" w:hAnsi="Arial"/>
                <w:b/>
                <w:i w:val="0"/>
                <w:color w:val="163258"/>
                <w:sz w:val="22"/>
              </w:rPr>
              <w:t>Neugeschäftsanalyse</w:t>
            </w:r>
          </w:p>
          <w:p>
            <w:pPr>
              <w:spacing w:after="80"/>
              <w:ind w:left="227" w:hanging="170"/>
            </w:pPr>
            <w:r>
              <w:rPr>
                <w:rFonts w:ascii="Arial" w:hAnsi="Arial"/>
                <w:color w:val="163258"/>
                <w:sz w:val="24"/>
              </w:rPr>
              <w:t xml:space="preserve">• </w:t>
            </w:r>
            <w:r>
              <w:rPr>
                <w:rFonts w:ascii="Arial" w:hAnsi="Arial"/>
                <w:b w:val="0"/>
                <w:i w:val="0"/>
                <w:color w:val="163258"/>
                <w:sz w:val="20"/>
              </w:rPr>
              <w:t>Liquiditätsrisiko)</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IAS 39 (Simulation und Auswertung)</w:t>
            </w:r>
          </w:p>
          <w:p>
            <w:pPr>
              <w:spacing w:after="80"/>
              <w:ind w:left="227" w:hanging="170"/>
            </w:pPr>
            <w:r>
              <w:rPr>
                <w:rFonts w:ascii="Arial" w:hAnsi="Arial"/>
                <w:color w:val="163258"/>
                <w:sz w:val="24"/>
              </w:rPr>
              <w:t xml:space="preserve">• </w:t>
            </w:r>
            <w:r>
              <w:rPr>
                <w:rFonts w:ascii="Arial" w:hAnsi="Arial"/>
                <w:b w:val="0"/>
                <w:i w:val="0"/>
                <w:color w:val="163258"/>
                <w:sz w:val="20"/>
              </w:rPr>
              <w:t>Umsetzung von Key Controls für SOX</w:t>
            </w:r>
          </w:p>
          <w:p>
            <w:pPr>
              <w:spacing w:after="80"/>
              <w:ind w:left="227" w:hanging="170"/>
            </w:pPr>
            <w:r>
              <w:rPr>
                <w:rFonts w:ascii="Arial" w:hAnsi="Arial"/>
                <w:color w:val="163258"/>
                <w:sz w:val="24"/>
              </w:rPr>
              <w:t xml:space="preserve">• </w:t>
            </w:r>
            <w:r>
              <w:rPr>
                <w:rFonts w:ascii="Arial" w:hAnsi="Arial"/>
                <w:b w:val="0"/>
                <w:i w:val="0"/>
                <w:color w:val="163258"/>
                <w:sz w:val="20"/>
              </w:rPr>
              <w:t>Portierung verschiedener komplexer Anwendungen von Access nach Oracle</w:t>
            </w:r>
          </w:p>
          <w:p>
            <w:pPr>
              <w:spacing w:after="80"/>
              <w:ind w:left="227" w:hanging="170"/>
            </w:pPr>
            <w:r>
              <w:rPr>
                <w:rFonts w:ascii="Arial" w:hAnsi="Arial"/>
                <w:color w:val="163258"/>
                <w:sz w:val="24"/>
              </w:rPr>
              <w:t xml:space="preserve">• </w:t>
            </w:r>
            <w:r>
              <w:rPr>
                <w:rFonts w:ascii="Arial" w:hAnsi="Arial"/>
                <w:b w:val="0"/>
                <w:i w:val="0"/>
                <w:color w:val="163258"/>
                <w:sz w:val="20"/>
              </w:rPr>
              <w:t>Unterstützung des XP Rollouts (SP1 und SP2)</w:t>
            </w:r>
          </w:p>
          <w:p>
            <w:pPr>
              <w:spacing w:after="80"/>
              <w:ind w:left="227" w:hanging="170"/>
            </w:pPr>
            <w:r>
              <w:rPr>
                <w:rFonts w:ascii="Arial" w:hAnsi="Arial"/>
                <w:color w:val="163258"/>
                <w:sz w:val="24"/>
              </w:rPr>
              <w:t xml:space="preserve">• </w:t>
            </w:r>
            <w:r>
              <w:rPr>
                <w:rFonts w:ascii="Arial" w:hAnsi="Arial"/>
                <w:b w:val="0"/>
                <w:i w:val="0"/>
                <w:color w:val="163258"/>
                <w:sz w:val="20"/>
              </w:rPr>
              <w:t>Unterstützung bei technischen Erweiterungen verschiedenster Anwendungen zur Ermittlung des Liquiditätsrisikos technische Entwicklung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PL/SQL Developer, XP, Oracle 10g, Access 2000, PL/SQL Deverloper, Powerbuilder, Windows NT/ Windows, Access 2.0, Access 95, Access 97, Excel 4.0, Excel 5.0, Excel 97, BS: Windows 3.11, OS/2, MVS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1992 - heute</w:t>
            </w:r>
            <w:r>
              <w:rPr>
                <w:sz w:val="22"/>
              </w:rPr>
              <w:tab/>
            </w:r>
            <w:r>
              <w:rPr>
                <w:rFonts w:ascii="Arial" w:hAnsi="Arial"/>
                <w:b/>
                <w:color w:val="163258"/>
                <w:sz w:val="26"/>
              </w:rPr>
            </w:r>
          </w:p>
          <w:p>
            <w:pPr>
              <w:spacing w:after="160"/>
            </w:pPr>
            <w:r>
              <w:rPr>
                <w:rFonts w:ascii="Arial" w:hAnsi="Arial"/>
                <w:b/>
                <w:i w:val="0"/>
                <w:color w:val="163258"/>
                <w:sz w:val="22"/>
              </w:rPr>
              <w:t>(Banken/Bausparkassen/Chemieunternehmen/Softwarehäuser)</w:t>
            </w:r>
          </w:p>
          <w:p>
            <w:pPr>
              <w:spacing w:after="80"/>
              <w:ind w:left="227" w:hanging="170"/>
            </w:pPr>
            <w:r>
              <w:rPr>
                <w:rFonts w:ascii="Arial" w:hAnsi="Arial"/>
                <w:color w:val="163258"/>
                <w:sz w:val="24"/>
              </w:rPr>
              <w:t xml:space="preserve">• </w:t>
            </w:r>
            <w:r>
              <w:rPr>
                <w:rFonts w:ascii="Arial" w:hAnsi="Arial"/>
                <w:b w:val="0"/>
                <w:i w:val="0"/>
                <w:color w:val="163258"/>
                <w:sz w:val="20"/>
              </w:rPr>
              <w:t>Projekte: Diverse Applikationen Access/VBA//VB</w:t>
            </w:r>
          </w:p>
          <w:p>
            <w:pPr>
              <w:spacing w:after="80"/>
              <w:ind w:left="227" w:hanging="170"/>
            </w:pPr>
            <w:r>
              <w:rPr>
                <w:rFonts w:ascii="Arial" w:hAnsi="Arial"/>
                <w:color w:val="163258"/>
                <w:sz w:val="24"/>
              </w:rPr>
              <w:t xml:space="preserve">• </w:t>
            </w:r>
            <w:r>
              <w:rPr>
                <w:rFonts w:ascii="Arial" w:hAnsi="Arial"/>
                <w:b w:val="0"/>
                <w:i w:val="0"/>
                <w:color w:val="163258"/>
                <w:sz w:val="20"/>
              </w:rPr>
              <w:t>Inhalt: - Applikation zur Kontrolle der KWG-Bestimmungen $13/14(Gross- und Millionenkredite)</w:t>
            </w:r>
          </w:p>
          <w:p>
            <w:pPr>
              <w:spacing w:after="80"/>
              <w:ind w:left="227" w:hanging="170"/>
            </w:pPr>
            <w:r>
              <w:rPr>
                <w:rFonts w:ascii="Arial" w:hAnsi="Arial"/>
                <w:color w:val="163258"/>
                <w:sz w:val="24"/>
              </w:rPr>
              <w:t xml:space="preserve">• </w:t>
            </w:r>
            <w:r>
              <w:rPr>
                <w:rFonts w:ascii="Arial" w:hAnsi="Arial"/>
                <w:b w:val="0"/>
                <w:i w:val="0"/>
                <w:color w:val="163258"/>
                <w:sz w:val="20"/>
              </w:rPr>
              <w:t>Projektmanagementtool zur Verwaltung aller Projekte der Projektmanagementabteilung Erstellung diverser Programme zur Verwaltung von Fremdgeldern und Wertpapieren</w:t>
            </w:r>
          </w:p>
          <w:p>
            <w:pPr>
              <w:spacing w:after="80"/>
              <w:ind w:left="227" w:hanging="170"/>
            </w:pPr>
            <w:r>
              <w:rPr>
                <w:rFonts w:ascii="Arial" w:hAnsi="Arial"/>
                <w:color w:val="163258"/>
                <w:sz w:val="24"/>
              </w:rPr>
              <w:t xml:space="preserve">• </w:t>
            </w:r>
            <w:r>
              <w:rPr>
                <w:rFonts w:ascii="Arial" w:hAnsi="Arial"/>
                <w:b w:val="0"/>
                <w:i w:val="0"/>
                <w:color w:val="163258"/>
                <w:sz w:val="20"/>
              </w:rPr>
              <w:t>Programm zur Erfassung von Vorgängen und Verrechnung der Mitarbeiterkosten (Multiuserbetrieb 300 Personen)</w:t>
            </w:r>
          </w:p>
          <w:p>
            <w:pPr>
              <w:spacing w:after="80"/>
              <w:ind w:left="227" w:hanging="170"/>
            </w:pPr>
            <w:r>
              <w:rPr>
                <w:rFonts w:ascii="Arial" w:hAnsi="Arial"/>
                <w:color w:val="163258"/>
                <w:sz w:val="24"/>
              </w:rPr>
              <w:t xml:space="preserve">• </w:t>
            </w:r>
            <w:r>
              <w:rPr>
                <w:rFonts w:ascii="Arial" w:hAnsi="Arial"/>
                <w:b w:val="0"/>
                <w:i w:val="0"/>
                <w:color w:val="163258"/>
                <w:sz w:val="20"/>
              </w:rPr>
              <w:t>Fakturierungsprogramm</w:t>
            </w:r>
          </w:p>
          <w:p>
            <w:pPr>
              <w:spacing w:after="80"/>
              <w:ind w:left="227" w:hanging="170"/>
            </w:pPr>
            <w:r>
              <w:rPr>
                <w:rFonts w:ascii="Arial" w:hAnsi="Arial"/>
                <w:color w:val="163258"/>
                <w:sz w:val="24"/>
              </w:rPr>
              <w:t xml:space="preserve">• </w:t>
            </w:r>
            <w:r>
              <w:rPr>
                <w:rFonts w:ascii="Arial" w:hAnsi="Arial"/>
                <w:b w:val="0"/>
                <w:i w:val="0"/>
                <w:color w:val="163258"/>
                <w:sz w:val="20"/>
              </w:rPr>
              <w:t>Umweltschutzprogemm (Erfassung und Verwaltung gesetzl.</w:t>
            </w:r>
          </w:p>
          <w:p>
            <w:pPr>
              <w:spacing w:after="80"/>
              <w:ind w:left="227" w:hanging="170"/>
            </w:pPr>
            <w:r>
              <w:rPr>
                <w:rFonts w:ascii="Arial" w:hAnsi="Arial"/>
                <w:color w:val="163258"/>
                <w:sz w:val="24"/>
              </w:rPr>
              <w:t xml:space="preserve">• </w:t>
            </w:r>
            <w:r>
              <w:rPr>
                <w:rFonts w:ascii="Arial" w:hAnsi="Arial"/>
                <w:b w:val="0"/>
                <w:i w:val="0"/>
                <w:color w:val="163258"/>
                <w:sz w:val="20"/>
              </w:rPr>
              <w:t>Umweltschutzprogramm (Erfassung und Verwaltung gesetzl. Bestimmungen und Auflagen, Verantwortlichkeiten, Terminüberwachung, Benutzerverwaltung)</w:t>
            </w:r>
          </w:p>
          <w:p>
            <w:pPr>
              <w:spacing w:after="80"/>
              <w:ind w:left="227" w:hanging="170"/>
            </w:pPr>
            <w:r>
              <w:rPr>
                <w:rFonts w:ascii="Arial" w:hAnsi="Arial"/>
                <w:color w:val="163258"/>
                <w:sz w:val="24"/>
              </w:rPr>
              <w:t xml:space="preserve">• </w:t>
            </w:r>
            <w:r>
              <w:rPr>
                <w:rFonts w:ascii="Arial" w:hAnsi="Arial"/>
                <w:b w:val="0"/>
                <w:i w:val="0"/>
                <w:color w:val="163258"/>
                <w:sz w:val="20"/>
              </w:rPr>
              <w:t>Benutzerverwaltung)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Access, Windows NT 4.0, Windows 2000, VBA, BS: Windows 3.11, Windows NT 3.5/4.0, Windows 9x/2000</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HP Quality Center</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Oracle 10g | Access 2003 | Excel 2003 | VBA | Windows XP | Access 2000 | PL/SQL Deverloper | Powerbuilder | Windows NT/ Windows | Access 2.0 | Access 95 | Access 97 | Excel 4.0 | Excel 5.0 | Excel 97 | BS: Windows 3.11 | OS/2 | MVS | Windows NT 3.5/4.0 | Windows 9x/2000 | Microfocus | MQ-Series | Calypso | Summit | Kondor | Martini | Oracle 10 | agile Project Management | EU-DSGVO | Aqua Datastudio | SAS BI | Murex Currency/Derivatives | Loantrak | Swordfish | Kapow | Sybase IQ 12.6 | Sybase ISQL | Opics</w:t>
      </w:r>
    </w:p>
    <w:p>
      <w:pPr>
        <w:spacing w:before="160" w:after="80"/>
        <w:pBdr>
          <w:bottom w:val="dashed" w:sz="8" w:space="4" w:color="d1d5db"/>
        </w:pBdr>
      </w:pPr>
      <w:r>
        <w:rPr>
          <w:rFonts w:ascii="Arial" w:hAnsi="Arial"/>
          <w:b/>
          <w:i w:val="0"/>
          <w:color w:val="163258"/>
          <w:sz w:val="20"/>
        </w:rPr>
        <w:t>Datenmanagement</w:t>
      </w:r>
    </w:p>
    <w:p>
      <w:pPr>
        <w:spacing w:after="240" w:line="360" w:lineRule="exact"/>
        <w:ind w:left="200"/>
        <w:pBdr>
          <w:left w:val="single" w:sz="16" w:space="8" w:color="d1d5db"/>
        </w:pBdr>
      </w:pPr>
      <w:r>
        <w:rPr>
          <w:rFonts w:ascii="Arial" w:hAnsi="Arial"/>
          <w:b w:val="0"/>
          <w:i w:val="0"/>
          <w:color w:val="163258"/>
          <w:sz w:val="20"/>
        </w:rPr>
        <w:t>GDPR | DSGVO | Datenschutz</w:t>
      </w:r>
    </w:p>
    <w:p>
      <w:pPr>
        <w:spacing w:before="160" w:after="80"/>
        <w:pBdr>
          <w:bottom w:val="dashed" w:sz="8" w:space="4" w:color="d1d5db"/>
        </w:pBdr>
      </w:pPr>
      <w:r>
        <w:rPr>
          <w:rFonts w:ascii="Arial" w:hAnsi="Arial"/>
          <w:b/>
          <w:i w:val="0"/>
          <w:color w:val="163258"/>
          <w:sz w:val="20"/>
        </w:rPr>
        <w:t>Dokumentationstools</w:t>
      </w:r>
    </w:p>
    <w:p>
      <w:pPr>
        <w:spacing w:after="240" w:line="360" w:lineRule="exact"/>
        <w:ind w:left="200"/>
        <w:pBdr>
          <w:left w:val="single" w:sz="16" w:space="8" w:color="d1d5db"/>
        </w:pBdr>
      </w:pPr>
      <w:r>
        <w:rPr>
          <w:rFonts w:ascii="Arial" w:hAnsi="Arial"/>
          <w:b w:val="0"/>
          <w:i w:val="0"/>
          <w:color w:val="163258"/>
          <w:sz w:val="20"/>
        </w:rPr>
        <w:t>Confluence</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BPM</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MS Access | Oracle | Sybase Central | Access | Toad | Watcom SQL | T-SQL | MARK | PL/SQL Developer</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JIRA | SharePoint | Murex | Bloomberg | Kondor+ | IFRS</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XP | Windows NT 4.0 | Windows 2000</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Java | C# | SAP</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ITIL</w:t>
      </w:r>
    </w:p>
    <w:p>
      <w:pPr>
        <w:spacing w:before="160" w:after="80"/>
        <w:pBdr>
          <w:bottom w:val="dashed" w:sz="8" w:space="4" w:color="d1d5db"/>
        </w:pBdr>
      </w:pPr>
      <w:r>
        <w:rPr>
          <w:rFonts w:ascii="Arial" w:hAnsi="Arial"/>
          <w:b/>
          <w:i w:val="0"/>
          <w:color w:val="163258"/>
          <w:sz w:val="20"/>
        </w:rPr>
        <w:t>Versionsverwaltung</w:t>
      </w:r>
    </w:p>
    <w:p>
      <w:pPr>
        <w:spacing w:after="240" w:line="360" w:lineRule="exact"/>
        <w:ind w:left="200"/>
        <w:pBdr>
          <w:left w:val="single" w:sz="16" w:space="8" w:color="d1d5db"/>
        </w:pBdr>
      </w:pPr>
      <w:r>
        <w:rPr>
          <w:rFonts w:ascii="Arial" w:hAnsi="Arial"/>
          <w:b w:val="0"/>
          <w:i w:val="0"/>
          <w:color w:val="163258"/>
          <w:sz w:val="20"/>
        </w:rPr>
        <w:t>TFS | Clearcase</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ASP.net</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AID-ea_4.1.3.1</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