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680"/>
        <w:jc w:val="center"/>
      </w:pPr>
      <w:r>
        <w:drawing>
          <wp:inline xmlns:a="http://schemas.openxmlformats.org/drawingml/2006/main" xmlns:pic="http://schemas.openxmlformats.org/drawingml/2006/picture">
            <wp:extent cx="3429000" cy="2286000"/>
            <wp:docPr id="1" name="Picture 1"/>
            <wp:cNvGraphicFramePr>
              <a:graphicFrameLocks noChangeAspect="1"/>
            </wp:cNvGraphicFramePr>
            <a:graphic>
              <a:graphicData uri="http://schemas.openxmlformats.org/drawingml/2006/picture">
                <pic:pic>
                  <pic:nvPicPr>
                    <pic:cNvPr id="0" name="logo_abcona.png"/>
                    <pic:cNvPicPr/>
                  </pic:nvPicPr>
                  <pic:blipFill>
                    <a:blip r:embed="rId10"/>
                    <a:stretch>
                      <a:fillRect/>
                    </a:stretch>
                  </pic:blipFill>
                  <pic:spPr>
                    <a:xfrm>
                      <a:off x="0" y="0"/>
                      <a:ext cx="3429000" cy="2286000"/>
                    </a:xfrm>
                    <a:prstGeom prst="rect"/>
                  </pic:spPr>
                </pic:pic>
              </a:graphicData>
            </a:graphic>
          </wp:inline>
        </w:drawing>
      </w:r>
    </w:p>
    <w:p>
      <w:pPr>
        <w:spacing w:before="120" w:after="320"/>
        <w:jc w:val="center"/>
      </w:pPr>
      <w:r>
        <w:rPr>
          <w:rFonts w:ascii="Arial" w:hAnsi="Arial"/>
          <w:b/>
          <w:i w:val="0"/>
          <w:color w:val="163258"/>
          <w:sz w:val="52"/>
        </w:rPr>
        <w:t>AID-as_4.1.3.0</w:t>
      </w:r>
    </w:p>
    <w:p>
      <w:pPr>
        <w:spacing w:before="0" w:after="400"/>
        <w:jc w:val="center"/>
      </w:pPr>
      <w:r>
        <w:rPr>
          <w:rFonts w:ascii="Arial" w:hAnsi="Arial"/>
          <w:b/>
          <w:i w:val="0"/>
          <w:color w:val="163258"/>
          <w:sz w:val="40"/>
        </w:rPr>
        <w:t>Schwerpunkt: Projektleiter/Interims IT Manager/CISA, Governance IT Audit Trading/Treasury (COBIT, MaRisk), Outsourcing Audit (IDW PS951/SSAE 16), Datenschutz (Auftr- Datenverarb. §11), ORACLE Consulting</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9866"/>
      </w:tblGrid>
      <w:tr>
        <w:tc>
          <w:tcPr>
            <w:tcW w:type="dxa" w:w="9866"/>
            <w:tcBorders>
              <w:top w:val="nil"/>
              <w:right w:val="nil"/>
              <w:bottom w:val="nil"/>
              <w:insideH w:val="nil"/>
              <w:insideV w:val="nil"/>
              <w:left w:val="single" w:sz="32" w:space="4" w:color="163258"/>
            </w:tcBorders>
            <w:shd w:val="clear" w:color="auto" w:fill="f9fafb"/>
            <w:tcMar>
              <w:top w:w="440" w:type="dxa"/>
              <w:bottom w:w="440" w:type="dxa"/>
              <w:left w:w="480" w:type="dxa"/>
              <w:right w:w="480" w:type="dxa"/>
            </w:tcMar>
          </w:tcPr>
          <w:p>
            <w:pPr>
              <w:spacing w:after="120"/>
            </w:pPr>
            <w:r>
              <w:rPr>
                <w:rFonts w:ascii="Arial" w:hAnsi="Arial"/>
                <w:b/>
                <w:i w:val="0"/>
                <w:color w:val="163258"/>
                <w:sz w:val="28"/>
              </w:rPr>
              <w:t>abcona e. K.</w:t>
            </w:r>
          </w:p>
          <w:p>
            <w:pPr>
              <w:spacing w:after="360"/>
            </w:pPr>
            <w:r>
              <w:rPr>
                <w:rFonts w:ascii="Arial" w:hAnsi="Arial"/>
                <w:b w:val="0"/>
                <w:i/>
                <w:color w:val="163258"/>
                <w:sz w:val="16"/>
              </w:rPr>
              <w:t>active business consulting agency</w:t>
            </w:r>
          </w:p>
          <w:p>
            <w:pPr>
              <w:spacing w:after="120"/>
            </w:pPr>
            <w:r>
              <w:rPr>
                <w:rFonts w:ascii="Arial" w:hAnsi="Arial"/>
                <w:b w:val="0"/>
                <w:i w:val="0"/>
                <w:color w:val="163258"/>
                <w:sz w:val="22"/>
              </w:rPr>
              <w:t>Bornhohl 26, 61449 Steinbach</w:t>
            </w:r>
          </w:p>
          <w:p>
            <w:pPr>
              <w:spacing w:after="360"/>
            </w:pPr>
            <w:r>
              <w:rPr>
                <w:rFonts w:ascii="Arial" w:hAnsi="Arial"/>
                <w:b w:val="0"/>
                <w:i w:val="0"/>
                <w:color w:val="163258"/>
                <w:sz w:val="22"/>
              </w:rPr>
              <w:t>Telefon +49 (0) 61 71 - 8867 - 00</w:t>
            </w:r>
          </w:p>
          <w:p>
            <w:pPr>
              <w:spacing w:after="120"/>
            </w:pPr>
            <w:r>
              <w:rPr>
                <w:rFonts w:ascii="Arial" w:hAnsi="Arial"/>
                <w:b w:val="0"/>
                <w:i w:val="0"/>
                <w:color w:val="163258"/>
                <w:sz w:val="22"/>
              </w:rPr>
              <w:t>Fax +49 (0) 61 71 - 8867 - 09</w:t>
            </w:r>
          </w:p>
          <w:p>
            <w:pPr>
              <w:spacing w:after="120"/>
            </w:pPr>
            <w:r>
              <w:rPr>
                <w:rFonts w:ascii="Arial" w:hAnsi="Arial"/>
                <w:b w:val="0"/>
                <w:i w:val="0"/>
                <w:color w:val="163258"/>
                <w:sz w:val="22"/>
              </w:rPr>
              <w:t>E-Mail office@abcona.de</w:t>
            </w:r>
          </w:p>
          <w:p>
            <w:pPr>
              <w:spacing w:after="280"/>
            </w:pPr>
            <w:r>
              <w:rPr>
                <w:rFonts w:ascii="Arial" w:hAnsi="Arial"/>
                <w:b w:val="0"/>
                <w:i w:val="0"/>
                <w:color w:val="163258"/>
                <w:sz w:val="22"/>
              </w:rPr>
              <w:t>Internet http://www.abcona.de</w:t>
            </w:r>
          </w:p>
        </w:tc>
      </w:tr>
    </w:tbl>
    <w:p>
      <w:pPr>
        <w:spacing w:after="0" w:before="0"/>
      </w:pPr>
    </w:p>
    <w:p>
      <w:pPr>
        <w:spacing w:before="0" w:after="0"/>
        <w:jc w:val="right"/>
        <w:pBdr>
          <w:top w:val="dashed" w:sz="4" w:space="14" w:color="d1d5db"/>
        </w:pBdr>
      </w:pPr>
      <w:r>
        <w:rPr>
          <w:rFonts w:ascii="Arial" w:hAnsi="Arial"/>
          <w:b w:val="0"/>
          <w:i/>
          <w:color w:val="6B7280"/>
          <w:sz w:val="20"/>
        </w:rPr>
        <w:t>Stand: 20. August 2026</w:t>
      </w:r>
      <w:r>
        <w:br w:type="page"/>
      </w:r>
    </w:p>
    <w:p>
      <w:pPr>
        <w:spacing w:before="0" w:after="0"/>
      </w:pPr>
    </w:p>
    <w:p>
      <w:pPr>
        <w:spacing w:before="0" w:after="240"/>
        <w:pBdr>
          <w:bottom w:val="single" w:sz="16" w:space="4" w:color="163258"/>
        </w:pBdr>
      </w:pPr>
      <w:r>
        <w:rPr>
          <w:rFonts w:ascii="Arial" w:hAnsi="Arial"/>
          <w:b/>
          <w:i w:val="0"/>
          <w:color w:val="163258"/>
          <w:sz w:val="26"/>
        </w:rPr>
        <w:t>Persönliche Daten</w:t>
      </w: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Name:</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AID-as_4.1.3.0</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Geburtsjahr: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1966</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Staatsangehörigkeit: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Deutsch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Sprachen:</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Englisch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EDV Erfahrung seit: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2012</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verfügbar:</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01.04.21 zu 100%, Vor-Ort-Einsatz 100% möglich</w:t>
            </w:r>
          </w:p>
        </w:tc>
      </w:tr>
      <w:tr>
        <w:tc>
          <w:tcPr>
            <w:tcW w:type="dxa" w:w="4933"/>
            <w:tcBorders>
              <w:top w:val="nil"/>
              <w:left w:val="nil"/>
              <w:bottom w:val="nil"/>
              <w:right w:val="nil"/>
              <w:insideH w:val="nil"/>
              <w:insideV w:val="nil"/>
            </w:tcBorders>
            <w:tcW w:w="2200" w:type="dxa"/>
            <w:tcMar>
              <w:top w:w="40" w:type="dxa"/>
              <w:bottom w:w="40" w:type="dxa"/>
              <w:left w:w="0" w:type="dxa"/>
              <w:right w:w="80" w:type="dxa"/>
            </w:tcMar>
            <w:vAlign w:val="top"/>
            <w:shd w:val="clear" w:color="auto" w:fill="f9fafb"/>
          </w:tcPr>
          <w:p>
            <w:pPr>
              <w:spacing w:after="0" w:line="300" w:lineRule="exact"/>
              <w:pBdr>
                <w:bottom w:val="dashed" w:sz="4" w:space="4" w:color="d1d5db"/>
              </w:pBdr>
            </w:pPr>
            <w:r>
              <w:rPr>
                <w:rFonts w:ascii="Arial" w:hAnsi="Arial"/>
                <w:b/>
                <w:i w:val="0"/>
                <w:color w:val="163258"/>
                <w:sz w:val="20"/>
              </w:rPr>
              <w:t>Einsatzort:</w:t>
            </w:r>
          </w:p>
        </w:tc>
        <w:tc>
          <w:tcPr>
            <w:tcW w:type="dxa" w:w="4933"/>
            <w:tcBorders>
              <w:top w:val="nil"/>
              <w:left w:val="nil"/>
              <w:bottom w:val="nil"/>
              <w:right w:val="nil"/>
              <w:insideH w:val="nil"/>
              <w:insideV w:val="nil"/>
            </w:tcBorders>
            <w:tcW w:w="7665" w:type="dxa"/>
            <w:tcMar>
              <w:top w:w="40" w:type="dxa"/>
              <w:bottom w:w="40" w:type="dxa"/>
              <w:left w:w="80" w:type="dxa"/>
              <w:right w:w="0" w:type="dxa"/>
            </w:tcMar>
            <w:vAlign w:val="top"/>
            <w:shd w:val="clear" w:color="auto" w:fill="f9fafb"/>
          </w:tcPr>
          <w:p>
            <w:pPr>
              <w:spacing w:after="0" w:line="300" w:lineRule="exact"/>
              <w:pBdr>
                <w:bottom w:val="dashed" w:sz="4" w:space="4" w:color="d1d5db"/>
              </w:pBdr>
            </w:pPr>
            <w:r>
              <w:rPr>
                <w:rFonts w:ascii="Arial" w:hAnsi="Arial"/>
                <w:b w:val="0"/>
                <w:i w:val="0"/>
                <w:color w:val="163258"/>
                <w:sz w:val="20"/>
              </w:rPr>
              <w:t>D0, D1, D2, D3, D4, D5, D6, D7, D8, D9, Österreich, Schweiz,</w:t>
            </w:r>
          </w:p>
        </w:tc>
      </w:tr>
      <w:tr>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c>
          <w:tcPr>
            <w:tcW w:type="dxa" w:w="4933"/>
            <w:shd w:val="clear" w:color="auto" w:fill="f9fafb"/>
            <w:tcBorders>
              <w:top w:val="nil"/>
              <w:left w:val="nil"/>
              <w:bottom w:val="nil"/>
              <w:right w:val="nil"/>
              <w:insideH w:val="nil"/>
              <w:insideV w:val="nil"/>
            </w:tcBorders>
            <w:tcMar>
              <w:top w:w="120" w:type="dxa"/>
              <w:bottom w:w="0" w:type="dxa"/>
              <w:left w:w="0" w:type="dxa"/>
              <w:right w:w="0" w:type="dxa"/>
            </w:tcMar>
          </w:tcPr>
          <w:p>
            <w:pPr>
              <w:spacing w:after="0"/>
            </w:pPr>
          </w:p>
        </w:tc>
      </w:tr>
    </w:tbl>
    <w:p>
      <w:pPr>
        <w:spacing w:after="200"/>
      </w:pPr>
    </w:p>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40" w:type="dxa"/>
              <w:left w:w="0" w:type="dxa"/>
              <w:right w:w="520" w:type="dxa"/>
            </w:tcMar>
          </w:tcPr>
          <w:p>
            <w:pPr>
              <w:pBdr>
                <w:bottom w:val="single" w:sz="16" w:space="4" w:color="163258"/>
              </w:pBdr>
            </w:pPr>
            <w:r>
              <w:rPr>
                <w:rFonts w:ascii="Arial" w:hAnsi="Arial"/>
                <w:b/>
                <w:i w:val="0"/>
                <w:color w:val="163258"/>
                <w:sz w:val="26"/>
              </w:rPr>
              <w:t>Zertifizierungen</w:t>
            </w:r>
          </w:p>
        </w:tc>
        <w:tc>
          <w:tcPr>
            <w:tcW w:type="dxa" w:w="4933"/>
            <w:tcBorders>
              <w:top w:val="nil"/>
              <w:left w:val="nil"/>
              <w:bottom w:val="nil"/>
              <w:right w:val="nil"/>
              <w:insideH w:val="nil"/>
              <w:insideV w:val="nil"/>
            </w:tcBorders>
            <w:tcW w:w="4932" w:type="dxa"/>
            <w:tcMar>
              <w:top w:w="0" w:type="dxa"/>
              <w:bottom w:w="40" w:type="dxa"/>
              <w:left w:w="520" w:type="dxa"/>
              <w:right w:w="0" w:type="dxa"/>
            </w:tcMar>
          </w:tcPr>
          <w:p>
            <w:pPr>
              <w:pBdr>
                <w:bottom w:val="single" w:sz="16" w:space="4" w:color="163258"/>
              </w:pBdr>
            </w:pPr>
            <w:r>
              <w:rPr>
                <w:rFonts w:ascii="Arial" w:hAnsi="Arial"/>
                <w:b/>
                <w:i w:val="0"/>
                <w:color w:val="163258"/>
                <w:sz w:val="26"/>
              </w:rPr>
              <w:t>Schulungen / Kurse</w:t>
            </w:r>
          </w:p>
        </w:tc>
      </w:tr>
    </w:tbl>
    <w:tbl>
      <w:tblPr>
        <w:tblW w:type="auto" w:w="0"/>
        <w:jc w:val="left"/>
        <w:tblLook w:firstColumn="1" w:firstRow="1" w:lastColumn="0" w:lastRow="0" w:noHBand="0" w:noVBand="1" w:val="04A0"/>
        <w:tblW w:w="9865" w:type="dxa"/>
        <w:tblBorders>
          <w:top w:val="nil"/>
          <w:left w:val="nil"/>
          <w:bottom w:val="nil"/>
          <w:right w:val="nil"/>
          <w:insideH w:val="nil"/>
          <w:insideV w:val="nil"/>
        </w:tblBorders>
      </w:tblPr>
      <w:tblGrid>
        <w:gridCol w:w="4933"/>
        <w:gridCol w:w="4933"/>
      </w:tblGrid>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PRINCE2 Practitioner</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CISA (Certified Information Systems Auditor der ISACA)</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Dipl.-Betriebswirt VWA</w:t>
            </w:r>
          </w:p>
        </w:tc>
      </w:tr>
      <w:tr>
        <w:tc>
          <w:tcPr>
            <w:tcW w:type="dxa" w:w="4933"/>
            <w:tcBorders>
              <w:top w:val="nil"/>
              <w:left w:val="nil"/>
              <w:bottom w:val="nil"/>
              <w:right w:val="nil"/>
              <w:insideH w:val="nil"/>
              <w:insideV w:val="nil"/>
            </w:tcBorders>
            <w:tcW w:w="4932" w:type="dxa"/>
            <w:tcMar>
              <w:top w:w="0" w:type="dxa"/>
              <w:bottom w:w="0" w:type="dxa"/>
              <w:left w:w="0" w:type="dxa"/>
              <w:right w:w="0" w:type="dxa"/>
            </w:tcMar>
          </w:tcPr>
          <w:p/>
        </w:tc>
        <w:tc>
          <w:tcPr>
            <w:tcW w:type="dxa" w:w="4933"/>
            <w:tcBorders>
              <w:top w:val="nil"/>
              <w:left w:val="nil"/>
              <w:bottom w:val="nil"/>
              <w:right w:val="nil"/>
              <w:insideH w:val="nil"/>
              <w:insideV w:val="nil"/>
            </w:tcBorders>
            <w:tcW w:w="4932" w:type="dxa"/>
            <w:tcMar>
              <w:top w:w="40" w:type="dxa"/>
              <w:bottom w:w="40" w:type="dxa"/>
              <w:left w:w="520" w:type="dxa"/>
              <w:right w:w="0" w:type="dxa"/>
            </w:tcMar>
          </w:tcPr>
          <w:p>
            <w:r>
              <w:rPr>
                <w:rFonts w:ascii="Arial" w:hAnsi="Arial"/>
                <w:color w:val="163258"/>
                <w:sz w:val="24"/>
              </w:rPr>
              <w:t xml:space="preserve">• </w:t>
            </w:r>
            <w:r>
              <w:rPr>
                <w:rFonts w:ascii="Arial" w:hAnsi="Arial"/>
                <w:b w:val="0"/>
                <w:i w:val="0"/>
                <w:color w:val="163258"/>
                <w:sz w:val="20"/>
              </w:rPr>
              <w:t>Diplominformatiker (Univ)</w:t>
            </w:r>
          </w:p>
        </w:tc>
      </w:tr>
    </w:tbl>
    <w:p>
      <w:pPr>
        <w:keepNext/>
        <w:spacing w:before="0" w:after="240"/>
        <w:pBdr>
          <w:bottom w:val="single" w:sz="16" w:space="4" w:color="163258"/>
        </w:pBdr>
      </w:pPr>
      <w:r>
        <w:rPr>
          <w:rFonts w:ascii="Arial" w:hAnsi="Arial"/>
          <w:b/>
          <w:color w:val="163258"/>
          <w:sz w:val="26"/>
        </w:rPr>
        <w:t>Fachbereiche</w:t>
      </w:r>
    </w:p>
    <w:p>
      <w:pPr>
        <w:keepNext/>
        <w:spacing w:after="80"/>
        <w:ind w:left="170"/>
      </w:pPr>
      <w:r>
        <w:rPr>
          <w:rFonts w:ascii="Arial" w:hAnsi="Arial"/>
          <w:color w:val="163258"/>
          <w:sz w:val="24"/>
        </w:rPr>
        <w:t xml:space="preserve">• </w:t>
      </w:r>
      <w:r>
        <w:rPr>
          <w:rFonts w:ascii="Arial" w:hAnsi="Arial"/>
          <w:b w:val="0"/>
          <w:i w:val="0"/>
          <w:color w:val="163258"/>
          <w:sz w:val="20"/>
        </w:rPr>
        <w:t>Projektleiter/Interims IT Manager/CISA</w:t>
      </w:r>
    </w:p>
    <w:p>
      <w:pPr>
        <w:keepNext/>
        <w:spacing w:after="80"/>
        <w:ind w:left="170"/>
      </w:pPr>
      <w:r>
        <w:rPr>
          <w:rFonts w:ascii="Arial" w:hAnsi="Arial"/>
          <w:color w:val="163258"/>
          <w:sz w:val="24"/>
        </w:rPr>
        <w:t xml:space="preserve">• </w:t>
      </w:r>
      <w:r>
        <w:rPr>
          <w:rFonts w:ascii="Arial" w:hAnsi="Arial"/>
          <w:b w:val="0"/>
          <w:i w:val="0"/>
          <w:color w:val="163258"/>
          <w:sz w:val="20"/>
        </w:rPr>
        <w:t>Governance IT Audit Trading/Treasury (COBIT MaRisk) Outsourcing Audit (IDW PS951/SSAE 16) Datenschutz (Auftr- Datenverarb. §11) ORACLE Consulting</w:t>
      </w:r>
    </w:p>
    <w:p>
      <w:pPr>
        <w:keepNext/>
        <w:spacing w:after="80"/>
        <w:ind w:left="170"/>
      </w:pPr>
      <w:r>
        <w:rPr>
          <w:rFonts w:ascii="Arial" w:hAnsi="Arial"/>
          <w:color w:val="163258"/>
          <w:sz w:val="24"/>
        </w:rPr>
        <w:t xml:space="preserve">• </w:t>
      </w:r>
      <w:r>
        <w:rPr>
          <w:rFonts w:ascii="Arial" w:hAnsi="Arial"/>
          <w:b w:val="0"/>
          <w:i w:val="0"/>
          <w:color w:val="163258"/>
          <w:sz w:val="20"/>
        </w:rPr>
        <w:t>Beratung / Consulting</w:t>
      </w:r>
    </w:p>
    <w:p>
      <w:pPr>
        <w:keepNext/>
        <w:spacing w:after="80"/>
        <w:ind w:left="170"/>
      </w:pPr>
      <w:r>
        <w:rPr>
          <w:rFonts w:ascii="Arial" w:hAnsi="Arial"/>
          <w:color w:val="163258"/>
          <w:sz w:val="24"/>
        </w:rPr>
        <w:t xml:space="preserve">• </w:t>
      </w:r>
      <w:r>
        <w:rPr>
          <w:rFonts w:ascii="Arial" w:hAnsi="Arial"/>
          <w:b w:val="0"/>
          <w:i w:val="0"/>
          <w:color w:val="163258"/>
          <w:sz w:val="20"/>
        </w:rPr>
        <w:t>Projektmanagement / -leitung / Organisation / Koordination</w:t>
      </w:r>
    </w:p>
    <w:p>
      <w:pPr>
        <w:keepNext/>
        <w:spacing w:after="80"/>
        <w:ind w:left="170"/>
      </w:pPr>
      <w:r>
        <w:rPr>
          <w:rFonts w:ascii="Arial" w:hAnsi="Arial"/>
          <w:color w:val="163258"/>
          <w:sz w:val="24"/>
        </w:rPr>
        <w:t xml:space="preserve">• </w:t>
      </w:r>
      <w:r>
        <w:rPr>
          <w:rFonts w:ascii="Arial" w:hAnsi="Arial"/>
          <w:b w:val="0"/>
          <w:i w:val="0"/>
          <w:color w:val="163258"/>
          <w:sz w:val="20"/>
        </w:rPr>
        <w:t>Lead Audit IT Governance Risk and IT Compliance / Information Security</w:t>
      </w:r>
    </w:p>
    <w:p>
      <w:pPr>
        <w:keepNext/>
        <w:spacing w:after="80"/>
        <w:ind w:left="170"/>
      </w:pPr>
      <w:r>
        <w:rPr>
          <w:rFonts w:ascii="Arial" w:hAnsi="Arial"/>
          <w:color w:val="163258"/>
          <w:sz w:val="24"/>
        </w:rPr>
        <w:t xml:space="preserve">• </w:t>
      </w:r>
      <w:r>
        <w:rPr>
          <w:rFonts w:ascii="Arial" w:hAnsi="Arial"/>
          <w:b w:val="0"/>
          <w:i w:val="0"/>
          <w:color w:val="163258"/>
          <w:sz w:val="20"/>
        </w:rPr>
        <w:t>Interim Management IT-Organisation / Outsourcing / Carve Out Migrationen</w:t>
      </w:r>
    </w:p>
    <w:p>
      <w:pPr>
        <w:keepNext/>
        <w:spacing w:after="80"/>
        <w:ind w:left="170"/>
      </w:pPr>
      <w:r>
        <w:rPr>
          <w:rFonts w:ascii="Arial" w:hAnsi="Arial"/>
          <w:color w:val="163258"/>
          <w:sz w:val="24"/>
        </w:rPr>
        <w:t xml:space="preserve">• </w:t>
      </w:r>
      <w:r>
        <w:rPr>
          <w:rFonts w:ascii="Arial" w:hAnsi="Arial"/>
          <w:b w:val="0"/>
          <w:i w:val="0"/>
          <w:color w:val="163258"/>
          <w:sz w:val="20"/>
        </w:rPr>
        <w:t>Project Management / Multi Project Management IT-Betrieb Infrastructure</w:t>
      </w:r>
    </w:p>
    <w:p>
      <w:pPr>
        <w:keepNext/>
        <w:spacing w:after="80"/>
        <w:ind w:left="170"/>
      </w:pPr>
      <w:r>
        <w:rPr>
          <w:rFonts w:ascii="Arial" w:hAnsi="Arial"/>
          <w:color w:val="163258"/>
          <w:sz w:val="24"/>
        </w:rPr>
        <w:t xml:space="preserve">• </w:t>
      </w:r>
      <w:r>
        <w:rPr>
          <w:rFonts w:ascii="Arial" w:hAnsi="Arial"/>
          <w:b w:val="0"/>
          <w:i w:val="0"/>
          <w:color w:val="163258"/>
          <w:sz w:val="20"/>
        </w:rPr>
        <w:t>Datenschutz Compliance zur EU-DSGVO</w:t>
      </w:r>
    </w:p>
    <w:p>
      <w:pPr>
        <w:keepNext/>
        <w:spacing w:after="80"/>
        <w:ind w:left="170"/>
      </w:pPr>
      <w:r>
        <w:rPr>
          <w:rFonts w:ascii="Arial" w:hAnsi="Arial"/>
          <w:color w:val="163258"/>
          <w:sz w:val="24"/>
        </w:rPr>
        <w:t xml:space="preserve">• </w:t>
      </w:r>
      <w:r>
        <w:rPr>
          <w:rFonts w:ascii="Arial" w:hAnsi="Arial"/>
          <w:b w:val="0"/>
          <w:i w:val="0"/>
          <w:color w:val="163258"/>
          <w:sz w:val="20"/>
        </w:rPr>
        <w:t>Diplominformatiker (Univ)</w:t>
      </w:r>
    </w:p>
    <w:p>
      <w:pPr>
        <w:keepNext/>
        <w:spacing w:after="80"/>
        <w:ind w:left="170"/>
      </w:pPr>
      <w:r>
        <w:rPr>
          <w:rFonts w:ascii="Arial" w:hAnsi="Arial"/>
          <w:color w:val="163258"/>
          <w:sz w:val="24"/>
        </w:rPr>
        <w:t xml:space="preserve">• </w:t>
      </w:r>
      <w:r>
        <w:rPr>
          <w:rFonts w:ascii="Arial" w:hAnsi="Arial"/>
          <w:b w:val="0"/>
          <w:i w:val="0"/>
          <w:color w:val="163258"/>
          <w:sz w:val="20"/>
        </w:rPr>
        <w:t>Dipl.-Betriebswirt VWA</w:t>
      </w:r>
    </w:p>
    <w:p>
      <w:pPr>
        <w:keepNext/>
        <w:spacing w:after="80"/>
        <w:ind w:left="170"/>
      </w:pPr>
      <w:r>
        <w:rPr>
          <w:rFonts w:ascii="Arial" w:hAnsi="Arial"/>
          <w:color w:val="163258"/>
          <w:sz w:val="24"/>
        </w:rPr>
        <w:t xml:space="preserve">• </w:t>
      </w:r>
      <w:r>
        <w:rPr>
          <w:rFonts w:ascii="Arial" w:hAnsi="Arial"/>
          <w:b w:val="0"/>
          <w:i w:val="0"/>
          <w:color w:val="163258"/>
          <w:sz w:val="20"/>
        </w:rPr>
        <w:t>Zertifikate</w:t>
      </w:r>
    </w:p>
    <w:p>
      <w:pPr>
        <w:keepNext/>
        <w:spacing w:after="80"/>
        <w:ind w:left="170"/>
      </w:pPr>
      <w:r>
        <w:rPr>
          <w:rFonts w:ascii="Arial" w:hAnsi="Arial"/>
          <w:color w:val="163258"/>
          <w:sz w:val="24"/>
        </w:rPr>
        <w:t xml:space="preserve">• </w:t>
      </w:r>
      <w:r>
        <w:rPr>
          <w:rFonts w:ascii="Arial" w:hAnsi="Arial"/>
          <w:b w:val="0"/>
          <w:i w:val="0"/>
          <w:color w:val="163258"/>
          <w:sz w:val="20"/>
        </w:rPr>
        <w:t>CISA (Certified Information Systems Auditor der ISACA) PRINCE2 Practitioner</w:t>
      </w:r>
    </w:p>
    <w:p>
      <w:pPr>
        <w:keepNext/>
        <w:spacing w:after="80"/>
        <w:ind w:left="170"/>
      </w:pPr>
      <w:r>
        <w:rPr>
          <w:rFonts w:ascii="Arial" w:hAnsi="Arial"/>
          <w:color w:val="163258"/>
          <w:sz w:val="24"/>
        </w:rPr>
        <w:t xml:space="preserve">• </w:t>
      </w:r>
      <w:r>
        <w:rPr>
          <w:rFonts w:ascii="Arial" w:hAnsi="Arial"/>
          <w:b w:val="0"/>
          <w:i w:val="0"/>
          <w:color w:val="163258"/>
          <w:sz w:val="20"/>
        </w:rPr>
        <w:t>Governance IT Audit Trading/Treasury (COBIT MaRisk)</w:t>
      </w:r>
    </w:p>
    <w:p>
      <w:pPr>
        <w:keepNext/>
        <w:spacing w:after="80"/>
        <w:ind w:left="170"/>
      </w:pPr>
      <w:r>
        <w:rPr>
          <w:rFonts w:ascii="Arial" w:hAnsi="Arial"/>
          <w:color w:val="163258"/>
          <w:sz w:val="24"/>
        </w:rPr>
        <w:t xml:space="preserve">• </w:t>
      </w:r>
      <w:r>
        <w:rPr>
          <w:rFonts w:ascii="Arial" w:hAnsi="Arial"/>
          <w:b w:val="0"/>
          <w:i w:val="0"/>
          <w:color w:val="163258"/>
          <w:sz w:val="20"/>
        </w:rPr>
        <w:t>Outsourcing Audit (IDW PS951/SSAE 16)</w:t>
      </w:r>
    </w:p>
    <w:p>
      <w:pPr>
        <w:keepNext/>
        <w:spacing w:after="80"/>
        <w:ind w:left="170"/>
      </w:pPr>
      <w:r>
        <w:rPr>
          <w:rFonts w:ascii="Arial" w:hAnsi="Arial"/>
          <w:color w:val="163258"/>
          <w:sz w:val="24"/>
        </w:rPr>
        <w:t xml:space="preserve">• </w:t>
      </w:r>
      <w:r>
        <w:rPr>
          <w:rFonts w:ascii="Arial" w:hAnsi="Arial"/>
          <w:b w:val="0"/>
          <w:i w:val="0"/>
          <w:color w:val="163258"/>
          <w:sz w:val="20"/>
        </w:rPr>
        <w:t>Datenschutz (Auftr- Datenverarb. §11)</w:t>
      </w:r>
    </w:p>
    <w:p>
      <w:pPr>
        <w:keepNext w:val="0"/>
        <w:spacing w:after="320"/>
        <w:ind w:left="170"/>
      </w:pPr>
      <w:r>
        <w:rPr>
          <w:rFonts w:ascii="Arial" w:hAnsi="Arial"/>
          <w:color w:val="163258"/>
          <w:sz w:val="24"/>
        </w:rPr>
        <w:t xml:space="preserve">• </w:t>
      </w:r>
      <w:r>
        <w:rPr>
          <w:rFonts w:ascii="Arial" w:hAnsi="Arial"/>
          <w:b w:val="0"/>
          <w:i w:val="0"/>
          <w:color w:val="163258"/>
          <w:sz w:val="20"/>
        </w:rPr>
        <w:t>ORACLE Consulting</w:t>
      </w:r>
    </w:p>
    <w:p>
      <w:pPr>
        <w:keepNext/>
        <w:spacing w:before="0" w:after="240"/>
        <w:pBdr>
          <w:bottom w:val="single" w:sz="16" w:space="4" w:color="163258"/>
        </w:pBdr>
      </w:pPr>
      <w:r>
        <w:rPr>
          <w:rFonts w:ascii="Arial" w:hAnsi="Arial"/>
          <w:b/>
          <w:color w:val="163258"/>
          <w:sz w:val="26"/>
        </w:rPr>
        <w:t>Branchen</w:t>
      </w:r>
    </w:p>
    <w:p>
      <w:pPr>
        <w:keepNext w:val="0"/>
        <w:spacing w:after="160"/>
      </w:pPr>
      <w:r>
        <w:rPr>
          <w:rFonts w:ascii="Arial" w:hAnsi="Arial"/>
          <w:b w:val="0"/>
          <w:i w:val="0"/>
          <w:color w:val="163258"/>
          <w:sz w:val="20"/>
        </w:rPr>
        <w:t>Banken, Behörden, Logistik, Versicherungen, Energieversorger, Mineralölindustrie, Mobilfunk-/Telekommunikation</w:t>
      </w:r>
    </w:p>
    <w:p>
      <w:pPr>
        <w:keepNext/>
        <w:spacing w:before="0" w:after="240"/>
        <w:pBdr>
          <w:bottom w:val="single" w:sz="16" w:space="4" w:color="163258"/>
        </w:pBdr>
      </w:pPr>
      <w:r>
        <w:rPr>
          <w:rFonts w:ascii="Arial" w:hAnsi="Arial"/>
          <w:b/>
          <w:color w:val="163258"/>
          <w:sz w:val="26"/>
        </w:rPr>
        <w:t>Produkte | Standards | Erfahrungen</w:t>
      </w:r>
    </w:p>
    <w:p>
      <w:pPr>
        <w:keepNext/>
        <w:spacing w:after="80"/>
        <w:ind w:left="170"/>
      </w:pPr>
      <w:r>
        <w:rPr>
          <w:rFonts w:ascii="Arial" w:hAnsi="Arial"/>
          <w:color w:val="163258"/>
          <w:sz w:val="24"/>
        </w:rPr>
        <w:t xml:space="preserve">• </w:t>
      </w:r>
      <w:r>
        <w:rPr>
          <w:rFonts w:ascii="Arial" w:hAnsi="Arial"/>
          <w:b w:val="0"/>
          <w:i w:val="0"/>
          <w:color w:val="163258"/>
          <w:sz w:val="20"/>
        </w:rPr>
        <w:t>ISO 27001 / EU-DSGVO / GWG / Solvency II</w:t>
      </w:r>
    </w:p>
    <w:p>
      <w:pPr>
        <w:spacing w:after="80"/>
        <w:ind w:left="170"/>
      </w:pPr>
      <w:r>
        <w:rPr>
          <w:rFonts w:ascii="Arial" w:hAnsi="Arial"/>
          <w:color w:val="163258"/>
          <w:sz w:val="24"/>
        </w:rPr>
        <w:t xml:space="preserve">• </w:t>
      </w:r>
      <w:r>
        <w:rPr>
          <w:rFonts w:ascii="Arial" w:hAnsi="Arial"/>
          <w:b w:val="0"/>
          <w:i w:val="0"/>
          <w:color w:val="163258"/>
          <w:sz w:val="20"/>
        </w:rPr>
        <w:t>ISO 27001 / EU-DSGVO / GWG / Volvency II</w:t>
      </w:r>
    </w:p>
    <w:p>
      <w:pPr>
        <w:spacing w:after="80"/>
        <w:ind w:left="170"/>
      </w:pPr>
      <w:r>
        <w:rPr>
          <w:rFonts w:ascii="Arial" w:hAnsi="Arial"/>
          <w:color w:val="163258"/>
          <w:sz w:val="24"/>
        </w:rPr>
        <w:t xml:space="preserve">• </w:t>
      </w:r>
      <w:r>
        <w:rPr>
          <w:rFonts w:ascii="Arial" w:hAnsi="Arial"/>
          <w:b w:val="0"/>
          <w:i w:val="0"/>
          <w:color w:val="163258"/>
          <w:sz w:val="20"/>
        </w:rPr>
        <w:t>Leistungen</w:t>
      </w:r>
    </w:p>
    <w:p>
      <w:pPr>
        <w:spacing w:after="80"/>
        <w:ind w:left="170"/>
      </w:pPr>
      <w:r>
        <w:rPr>
          <w:rFonts w:ascii="Arial" w:hAnsi="Arial"/>
          <w:color w:val="163258"/>
          <w:sz w:val="24"/>
        </w:rPr>
        <w:t xml:space="preserve">• </w:t>
      </w:r>
      <w:r>
        <w:rPr>
          <w:rFonts w:ascii="Arial" w:hAnsi="Arial"/>
          <w:b w:val="0"/>
          <w:i w:val="0"/>
          <w:color w:val="163258"/>
          <w:sz w:val="20"/>
        </w:rPr>
        <w:t>Governance Audit / Security -Audit / SOX Control Testing</w:t>
      </w:r>
    </w:p>
    <w:p>
      <w:pPr>
        <w:spacing w:after="80"/>
        <w:ind w:left="170"/>
      </w:pPr>
      <w:r>
        <w:rPr>
          <w:rFonts w:ascii="Arial" w:hAnsi="Arial"/>
          <w:color w:val="163258"/>
          <w:sz w:val="24"/>
        </w:rPr>
        <w:t xml:space="preserve">• </w:t>
      </w:r>
      <w:r>
        <w:rPr>
          <w:rFonts w:ascii="Arial" w:hAnsi="Arial"/>
          <w:b w:val="0"/>
          <w:i w:val="0"/>
          <w:color w:val="163258"/>
          <w:sz w:val="20"/>
        </w:rPr>
        <w:t>* Prüfung der Ordnungsmäßigkeit und Sicherheit von IT-Organisationen</w:t>
      </w:r>
    </w:p>
    <w:p>
      <w:pPr>
        <w:spacing w:after="80"/>
        <w:ind w:left="170"/>
      </w:pPr>
      <w:r>
        <w:rPr>
          <w:rFonts w:ascii="Arial" w:hAnsi="Arial"/>
          <w:color w:val="163258"/>
          <w:sz w:val="24"/>
        </w:rPr>
        <w:t xml:space="preserve">• </w:t>
      </w:r>
      <w:r>
        <w:rPr>
          <w:rFonts w:ascii="Arial" w:hAnsi="Arial"/>
          <w:b w:val="0"/>
          <w:i w:val="0"/>
          <w:color w:val="163258"/>
          <w:sz w:val="20"/>
        </w:rPr>
        <w:t>Prozessen und Projekten nach gesetzlichen</w:t>
      </w:r>
    </w:p>
    <w:p>
      <w:pPr>
        <w:spacing w:after="80"/>
        <w:ind w:left="170"/>
      </w:pPr>
      <w:r>
        <w:rPr>
          <w:rFonts w:ascii="Arial" w:hAnsi="Arial"/>
          <w:color w:val="163258"/>
          <w:sz w:val="24"/>
        </w:rPr>
        <w:t xml:space="preserve">• </w:t>
      </w:r>
      <w:r>
        <w:rPr>
          <w:rFonts w:ascii="Arial" w:hAnsi="Arial"/>
          <w:b w:val="0"/>
          <w:i w:val="0"/>
          <w:color w:val="163258"/>
          <w:sz w:val="20"/>
        </w:rPr>
        <w:t>regulatorischer Anforderungen</w:t>
      </w:r>
    </w:p>
    <w:p>
      <w:pPr>
        <w:spacing w:after="80"/>
        <w:ind w:left="170"/>
      </w:pPr>
      <w:r>
        <w:rPr>
          <w:rFonts w:ascii="Arial" w:hAnsi="Arial"/>
          <w:color w:val="163258"/>
          <w:sz w:val="24"/>
        </w:rPr>
        <w:t xml:space="preserve">• </w:t>
      </w:r>
      <w:r>
        <w:rPr>
          <w:rFonts w:ascii="Arial" w:hAnsi="Arial"/>
          <w:b w:val="0"/>
          <w:i w:val="0"/>
          <w:color w:val="163258"/>
          <w:sz w:val="20"/>
        </w:rPr>
        <w:t>und Prüfungsnormen (KwG</w:t>
      </w:r>
    </w:p>
    <w:p>
      <w:pPr>
        <w:spacing w:after="80"/>
        <w:ind w:left="170"/>
      </w:pPr>
      <w:r>
        <w:rPr>
          <w:rFonts w:ascii="Arial" w:hAnsi="Arial"/>
          <w:color w:val="163258"/>
          <w:sz w:val="24"/>
        </w:rPr>
        <w:t xml:space="preserve">• </w:t>
      </w:r>
      <w:r>
        <w:rPr>
          <w:rFonts w:ascii="Arial" w:hAnsi="Arial"/>
          <w:b w:val="0"/>
          <w:i w:val="0"/>
          <w:color w:val="163258"/>
          <w:sz w:val="20"/>
        </w:rPr>
        <w:t>SOX 404</w:t>
      </w:r>
    </w:p>
    <w:p>
      <w:pPr>
        <w:spacing w:after="80"/>
        <w:ind w:left="170"/>
      </w:pPr>
      <w:r>
        <w:rPr>
          <w:rFonts w:ascii="Arial" w:hAnsi="Arial"/>
          <w:color w:val="163258"/>
          <w:sz w:val="24"/>
        </w:rPr>
        <w:t xml:space="preserve">• </w:t>
      </w:r>
      <w:r>
        <w:rPr>
          <w:rFonts w:ascii="Arial" w:hAnsi="Arial"/>
          <w:b w:val="0"/>
          <w:i w:val="0"/>
          <w:color w:val="163258"/>
          <w:sz w:val="20"/>
        </w:rPr>
        <w:t>MaRisk/BAIT</w:t>
      </w:r>
    </w:p>
    <w:p>
      <w:pPr>
        <w:spacing w:after="80"/>
        <w:ind w:left="170"/>
      </w:pPr>
      <w:r>
        <w:rPr>
          <w:rFonts w:ascii="Arial" w:hAnsi="Arial"/>
          <w:color w:val="163258"/>
          <w:sz w:val="24"/>
        </w:rPr>
        <w:t xml:space="preserve">• </w:t>
      </w:r>
      <w:r>
        <w:rPr>
          <w:rFonts w:ascii="Arial" w:hAnsi="Arial"/>
          <w:b w:val="0"/>
          <w:i w:val="0"/>
          <w:color w:val="163258"/>
          <w:sz w:val="20"/>
        </w:rPr>
        <w:t>IDW PS 330</w:t>
      </w:r>
    </w:p>
    <w:p>
      <w:pPr>
        <w:spacing w:after="80"/>
        <w:ind w:left="170"/>
      </w:pPr>
      <w:r>
        <w:rPr>
          <w:rFonts w:ascii="Arial" w:hAnsi="Arial"/>
          <w:color w:val="163258"/>
          <w:sz w:val="24"/>
        </w:rPr>
        <w:t xml:space="preserve">• </w:t>
      </w:r>
      <w:r>
        <w:rPr>
          <w:rFonts w:ascii="Arial" w:hAnsi="Arial"/>
          <w:b w:val="0"/>
          <w:i w:val="0"/>
          <w:color w:val="163258"/>
          <w:sz w:val="20"/>
        </w:rPr>
        <w:t>ISAE 3402</w:t>
      </w:r>
    </w:p>
    <w:p>
      <w:pPr>
        <w:spacing w:after="80"/>
        <w:ind w:left="170"/>
      </w:pPr>
      <w:r>
        <w:rPr>
          <w:rFonts w:ascii="Arial" w:hAnsi="Arial"/>
          <w:color w:val="163258"/>
          <w:sz w:val="24"/>
        </w:rPr>
        <w:t xml:space="preserve">• </w:t>
      </w:r>
      <w:r>
        <w:rPr>
          <w:rFonts w:ascii="Arial" w:hAnsi="Arial"/>
          <w:b w:val="0"/>
          <w:i w:val="0"/>
          <w:color w:val="163258"/>
          <w:sz w:val="20"/>
        </w:rPr>
        <w:t>ISO</w:t>
      </w:r>
    </w:p>
    <w:p>
      <w:pPr>
        <w:spacing w:after="80"/>
        <w:ind w:left="170"/>
      </w:pPr>
      <w:r>
        <w:rPr>
          <w:rFonts w:ascii="Arial" w:hAnsi="Arial"/>
          <w:color w:val="163258"/>
          <w:sz w:val="24"/>
        </w:rPr>
        <w:t xml:space="preserve">• </w:t>
      </w:r>
      <w:r>
        <w:rPr>
          <w:rFonts w:ascii="Arial" w:hAnsi="Arial"/>
          <w:b w:val="0"/>
          <w:i w:val="0"/>
          <w:color w:val="163258"/>
          <w:sz w:val="20"/>
        </w:rPr>
        <w:t>IEC 27001)</w:t>
      </w:r>
    </w:p>
    <w:p>
      <w:pPr>
        <w:spacing w:after="80"/>
        <w:ind w:left="170"/>
      </w:pPr>
      <w:r>
        <w:rPr>
          <w:rFonts w:ascii="Arial" w:hAnsi="Arial"/>
          <w:color w:val="163258"/>
          <w:sz w:val="24"/>
        </w:rPr>
        <w:t xml:space="preserve">• </w:t>
      </w:r>
      <w:r>
        <w:rPr>
          <w:rFonts w:ascii="Arial" w:hAnsi="Arial"/>
          <w:b w:val="0"/>
          <w:i w:val="0"/>
          <w:color w:val="163258"/>
          <w:sz w:val="20"/>
        </w:rPr>
        <w:t>Interims- /Projektmanagement</w:t>
      </w:r>
    </w:p>
    <w:p>
      <w:pPr>
        <w:spacing w:after="80"/>
        <w:ind w:left="170"/>
      </w:pPr>
      <w:r>
        <w:rPr>
          <w:rFonts w:ascii="Arial" w:hAnsi="Arial"/>
          <w:color w:val="163258"/>
          <w:sz w:val="24"/>
        </w:rPr>
        <w:t xml:space="preserve">• </w:t>
      </w:r>
      <w:r>
        <w:rPr>
          <w:rFonts w:ascii="Arial" w:hAnsi="Arial"/>
          <w:b w:val="0"/>
          <w:i w:val="0"/>
          <w:color w:val="163258"/>
          <w:sz w:val="20"/>
        </w:rPr>
        <w:t>* Planung</w:t>
      </w:r>
    </w:p>
    <w:p>
      <w:pPr>
        <w:spacing w:after="80"/>
        <w:ind w:left="170"/>
      </w:pPr>
      <w:r>
        <w:rPr>
          <w:rFonts w:ascii="Arial" w:hAnsi="Arial"/>
          <w:color w:val="163258"/>
          <w:sz w:val="24"/>
        </w:rPr>
        <w:t xml:space="preserve">• </w:t>
      </w:r>
      <w:r>
        <w:rPr>
          <w:rFonts w:ascii="Arial" w:hAnsi="Arial"/>
          <w:b w:val="0"/>
          <w:i w:val="0"/>
          <w:color w:val="163258"/>
          <w:sz w:val="20"/>
        </w:rPr>
        <w:t>Durchführung und Controlling von IT-Service- und</w:t>
      </w:r>
    </w:p>
    <w:p>
      <w:pPr>
        <w:spacing w:after="80"/>
        <w:ind w:left="170"/>
      </w:pPr>
      <w:r>
        <w:rPr>
          <w:rFonts w:ascii="Arial" w:hAnsi="Arial"/>
          <w:color w:val="163258"/>
          <w:sz w:val="24"/>
        </w:rPr>
        <w:t xml:space="preserve">• </w:t>
      </w:r>
      <w:r>
        <w:rPr>
          <w:rFonts w:ascii="Arial" w:hAnsi="Arial"/>
          <w:b w:val="0"/>
          <w:i w:val="0"/>
          <w:color w:val="163258"/>
          <w:sz w:val="20"/>
        </w:rPr>
        <w:t>Sicherheitsprojekten mit Ressourcen-</w:t>
      </w:r>
    </w:p>
    <w:p>
      <w:pPr>
        <w:spacing w:after="80"/>
        <w:ind w:left="170"/>
      </w:pPr>
      <w:r>
        <w:rPr>
          <w:rFonts w:ascii="Arial" w:hAnsi="Arial"/>
          <w:color w:val="163258"/>
          <w:sz w:val="24"/>
        </w:rPr>
        <w:t xml:space="preserve">• </w:t>
      </w:r>
      <w:r>
        <w:rPr>
          <w:rFonts w:ascii="Arial" w:hAnsi="Arial"/>
          <w:b w:val="0"/>
          <w:i w:val="0"/>
          <w:color w:val="163258"/>
          <w:sz w:val="20"/>
        </w:rPr>
        <w:t>Budgetsteuerung und Ergebnis-</w:t>
      </w:r>
    </w:p>
    <w:p>
      <w:pPr>
        <w:spacing w:after="80"/>
        <w:ind w:left="170"/>
      </w:pPr>
      <w:r>
        <w:rPr>
          <w:rFonts w:ascii="Arial" w:hAnsi="Arial"/>
          <w:color w:val="163258"/>
          <w:sz w:val="24"/>
        </w:rPr>
        <w:t xml:space="preserve">• </w:t>
      </w:r>
      <w:r>
        <w:rPr>
          <w:rFonts w:ascii="Arial" w:hAnsi="Arial"/>
          <w:b w:val="0"/>
          <w:i w:val="0"/>
          <w:color w:val="163258"/>
          <w:sz w:val="20"/>
        </w:rPr>
        <w:t>verantwortung</w:t>
      </w:r>
    </w:p>
    <w:p>
      <w:pPr>
        <w:spacing w:after="80"/>
        <w:ind w:left="170"/>
      </w:pPr>
      <w:r>
        <w:rPr>
          <w:rFonts w:ascii="Arial" w:hAnsi="Arial"/>
          <w:color w:val="163258"/>
          <w:sz w:val="24"/>
        </w:rPr>
        <w:t xml:space="preserve">• </w:t>
      </w:r>
      <w:r>
        <w:rPr>
          <w:rFonts w:ascii="Arial" w:hAnsi="Arial"/>
          <w:b w:val="0"/>
          <w:i w:val="0"/>
          <w:color w:val="163258"/>
          <w:sz w:val="20"/>
        </w:rPr>
        <w:t>Compliance Beratung</w:t>
      </w:r>
    </w:p>
    <w:p>
      <w:pPr>
        <w:spacing w:after="80"/>
        <w:ind w:left="170"/>
      </w:pPr>
      <w:r>
        <w:rPr>
          <w:rFonts w:ascii="Arial" w:hAnsi="Arial"/>
          <w:color w:val="163258"/>
          <w:sz w:val="24"/>
        </w:rPr>
        <w:t xml:space="preserve">• </w:t>
      </w:r>
      <w:r>
        <w:rPr>
          <w:rFonts w:ascii="Arial" w:hAnsi="Arial"/>
          <w:b w:val="0"/>
          <w:i w:val="0"/>
          <w:color w:val="163258"/>
          <w:sz w:val="20"/>
        </w:rPr>
        <w:t>* Entwicklung von Regelungen</w:t>
      </w:r>
    </w:p>
    <w:p>
      <w:pPr>
        <w:spacing w:after="80"/>
        <w:ind w:left="170"/>
      </w:pPr>
      <w:r>
        <w:rPr>
          <w:rFonts w:ascii="Arial" w:hAnsi="Arial"/>
          <w:color w:val="163258"/>
          <w:sz w:val="24"/>
        </w:rPr>
        <w:t xml:space="preserve">• </w:t>
      </w:r>
      <w:r>
        <w:rPr>
          <w:rFonts w:ascii="Arial" w:hAnsi="Arial"/>
          <w:b w:val="0"/>
          <w:i w:val="0"/>
          <w:color w:val="163258"/>
          <w:sz w:val="20"/>
        </w:rPr>
        <w:t>Konzepten</w:t>
      </w:r>
    </w:p>
    <w:p>
      <w:pPr>
        <w:spacing w:after="80"/>
        <w:ind w:left="170"/>
      </w:pPr>
      <w:r>
        <w:rPr>
          <w:rFonts w:ascii="Arial" w:hAnsi="Arial"/>
          <w:color w:val="163258"/>
          <w:sz w:val="24"/>
        </w:rPr>
        <w:t xml:space="preserve">• </w:t>
      </w:r>
      <w:r>
        <w:rPr>
          <w:rFonts w:ascii="Arial" w:hAnsi="Arial"/>
          <w:b w:val="0"/>
          <w:i w:val="0"/>
          <w:color w:val="163258"/>
          <w:sz w:val="20"/>
        </w:rPr>
        <w:t>Verfahren und Kontrollen für</w:t>
      </w:r>
    </w:p>
    <w:p>
      <w:pPr>
        <w:spacing w:after="80"/>
        <w:ind w:left="170"/>
      </w:pPr>
      <w:r>
        <w:rPr>
          <w:rFonts w:ascii="Arial" w:hAnsi="Arial"/>
          <w:color w:val="163258"/>
          <w:sz w:val="24"/>
        </w:rPr>
        <w:t xml:space="preserve">• </w:t>
      </w:r>
      <w:r>
        <w:rPr>
          <w:rFonts w:ascii="Arial" w:hAnsi="Arial"/>
          <w:b w:val="0"/>
          <w:i w:val="0"/>
          <w:color w:val="163258"/>
          <w:sz w:val="20"/>
        </w:rPr>
        <w:t>Geldwäsche-prävention (GWG)</w:t>
      </w:r>
    </w:p>
    <w:p>
      <w:pPr>
        <w:spacing w:after="80"/>
        <w:ind w:left="170"/>
      </w:pPr>
      <w:r>
        <w:rPr>
          <w:rFonts w:ascii="Arial" w:hAnsi="Arial"/>
          <w:color w:val="163258"/>
          <w:sz w:val="24"/>
        </w:rPr>
        <w:t xml:space="preserve">• </w:t>
      </w:r>
      <w:r>
        <w:rPr>
          <w:rFonts w:ascii="Arial" w:hAnsi="Arial"/>
          <w:b w:val="0"/>
          <w:i w:val="0"/>
          <w:color w:val="163258"/>
          <w:sz w:val="20"/>
        </w:rPr>
        <w:t>Informationssicherheit (ISMS) und</w:t>
      </w:r>
    </w:p>
    <w:p>
      <w:pPr>
        <w:spacing w:after="80"/>
        <w:ind w:left="170"/>
      </w:pPr>
      <w:r>
        <w:rPr>
          <w:rFonts w:ascii="Arial" w:hAnsi="Arial"/>
          <w:color w:val="163258"/>
          <w:sz w:val="24"/>
        </w:rPr>
        <w:t xml:space="preserve">• </w:t>
      </w:r>
      <w:r>
        <w:rPr>
          <w:rFonts w:ascii="Arial" w:hAnsi="Arial"/>
          <w:b w:val="0"/>
          <w:i w:val="0"/>
          <w:color w:val="163258"/>
          <w:sz w:val="20"/>
        </w:rPr>
        <w:t>Datenschutz (EU-DSGVO)</w:t>
      </w:r>
    </w:p>
    <w:p>
      <w:pPr>
        <w:spacing w:after="80"/>
        <w:ind w:left="170"/>
      </w:pPr>
      <w:r>
        <w:rPr>
          <w:rFonts w:ascii="Arial" w:hAnsi="Arial"/>
          <w:color w:val="163258"/>
          <w:sz w:val="24"/>
        </w:rPr>
        <w:t xml:space="preserve">• </w:t>
      </w:r>
      <w:r>
        <w:rPr>
          <w:rFonts w:ascii="Arial" w:hAnsi="Arial"/>
          <w:b w:val="0"/>
          <w:i w:val="0"/>
          <w:color w:val="163258"/>
          <w:sz w:val="20"/>
        </w:rPr>
        <w:t>Vorbereitung von Control Self Assessments für Sonderprüfungen der</w:t>
      </w:r>
    </w:p>
    <w:p>
      <w:pPr>
        <w:spacing w:after="80"/>
        <w:ind w:left="170"/>
      </w:pPr>
      <w:r>
        <w:rPr>
          <w:rFonts w:ascii="Arial" w:hAnsi="Arial"/>
          <w:color w:val="163258"/>
          <w:sz w:val="24"/>
        </w:rPr>
        <w:t xml:space="preserve">• </w:t>
      </w:r>
      <w:r>
        <w:rPr>
          <w:rFonts w:ascii="Arial" w:hAnsi="Arial"/>
          <w:b w:val="0"/>
          <w:i w:val="0"/>
          <w:color w:val="163258"/>
          <w:sz w:val="20"/>
        </w:rPr>
        <w:t>Bankenaufsicht (§44-KwG)</w:t>
      </w:r>
    </w:p>
    <w:p>
      <w:pPr>
        <w:spacing w:after="80"/>
        <w:ind w:left="170"/>
      </w:pPr>
      <w:r>
        <w:rPr>
          <w:rFonts w:ascii="Arial" w:hAnsi="Arial"/>
          <w:color w:val="163258"/>
          <w:sz w:val="24"/>
        </w:rPr>
        <w:t xml:space="preserve">• </w:t>
      </w:r>
      <w:r>
        <w:rPr>
          <w:rFonts w:ascii="Arial" w:hAnsi="Arial"/>
          <w:b w:val="0"/>
          <w:i w:val="0"/>
          <w:color w:val="163258"/>
          <w:sz w:val="20"/>
        </w:rPr>
        <w:t>Behandlung von Kontrollschwächen in</w:t>
      </w:r>
    </w:p>
    <w:p>
      <w:pPr>
        <w:spacing w:after="80"/>
        <w:ind w:left="170"/>
      </w:pPr>
      <w:r>
        <w:rPr>
          <w:rFonts w:ascii="Arial" w:hAnsi="Arial"/>
          <w:color w:val="163258"/>
          <w:sz w:val="24"/>
        </w:rPr>
        <w:t xml:space="preserve">• </w:t>
      </w:r>
      <w:r>
        <w:rPr>
          <w:rFonts w:ascii="Arial" w:hAnsi="Arial"/>
          <w:b w:val="0"/>
          <w:i w:val="0"/>
          <w:color w:val="163258"/>
          <w:sz w:val="20"/>
        </w:rPr>
        <w:t>Abstellungsprojekten</w:t>
      </w:r>
    </w:p>
    <w:p>
      <w:pPr>
        <w:spacing w:after="80"/>
        <w:ind w:left="170"/>
      </w:pPr>
      <w:r>
        <w:rPr>
          <w:rFonts w:ascii="Arial" w:hAnsi="Arial"/>
          <w:color w:val="163258"/>
          <w:sz w:val="24"/>
        </w:rPr>
        <w:t xml:space="preserve">• </w:t>
      </w:r>
      <w:r>
        <w:rPr>
          <w:rFonts w:ascii="Arial" w:hAnsi="Arial"/>
          <w:b w:val="0"/>
          <w:i w:val="0"/>
          <w:color w:val="163258"/>
          <w:sz w:val="20"/>
        </w:rPr>
        <w:t>Prozesserfahrung</w:t>
      </w:r>
    </w:p>
    <w:p>
      <w:pPr>
        <w:spacing w:after="80"/>
        <w:ind w:left="170"/>
      </w:pPr>
      <w:r>
        <w:rPr>
          <w:rFonts w:ascii="Arial" w:hAnsi="Arial"/>
          <w:color w:val="163258"/>
          <w:sz w:val="24"/>
        </w:rPr>
        <w:t xml:space="preserve">• </w:t>
      </w:r>
      <w:r>
        <w:rPr>
          <w:rFonts w:ascii="Arial" w:hAnsi="Arial"/>
          <w:b w:val="0"/>
          <w:i w:val="0"/>
          <w:color w:val="163258"/>
          <w:sz w:val="20"/>
        </w:rPr>
        <w:t>Rechnungslegungsrelevante IT Kontrollprozesse nach SOX Sec. 404</w:t>
      </w:r>
    </w:p>
    <w:p>
      <w:pPr>
        <w:spacing w:after="80"/>
        <w:ind w:left="170"/>
      </w:pPr>
      <w:r>
        <w:rPr>
          <w:rFonts w:ascii="Arial" w:hAnsi="Arial"/>
          <w:color w:val="163258"/>
          <w:sz w:val="24"/>
        </w:rPr>
        <w:t xml:space="preserve">• </w:t>
      </w:r>
      <w:r>
        <w:rPr>
          <w:rFonts w:ascii="Arial" w:hAnsi="Arial"/>
          <w:b w:val="0"/>
          <w:i w:val="0"/>
          <w:color w:val="163258"/>
          <w:sz w:val="20"/>
        </w:rPr>
        <w:t>Prozesse der KYC/ Geldwäsche-Prevention (Sanctions &amp; Embargo)</w:t>
      </w:r>
    </w:p>
    <w:p>
      <w:pPr>
        <w:spacing w:after="80"/>
        <w:ind w:left="170"/>
      </w:pPr>
      <w:r>
        <w:rPr>
          <w:rFonts w:ascii="Arial" w:hAnsi="Arial"/>
          <w:color w:val="163258"/>
          <w:sz w:val="24"/>
        </w:rPr>
        <w:t xml:space="preserve">• </w:t>
      </w:r>
      <w:r>
        <w:rPr>
          <w:rFonts w:ascii="Arial" w:hAnsi="Arial"/>
          <w:b w:val="0"/>
          <w:i w:val="0"/>
          <w:color w:val="163258"/>
          <w:sz w:val="20"/>
        </w:rPr>
        <w:t>* Dienstleistersteuerung</w:t>
      </w:r>
    </w:p>
    <w:p>
      <w:pPr>
        <w:spacing w:after="80"/>
        <w:ind w:left="170"/>
      </w:pPr>
      <w:r>
        <w:rPr>
          <w:rFonts w:ascii="Arial" w:hAnsi="Arial"/>
          <w:color w:val="163258"/>
          <w:sz w:val="24"/>
        </w:rPr>
        <w:t xml:space="preserve">• </w:t>
      </w:r>
      <w:r>
        <w:rPr>
          <w:rFonts w:ascii="Arial" w:hAnsi="Arial"/>
          <w:b w:val="0"/>
          <w:i w:val="0"/>
          <w:color w:val="163258"/>
          <w:sz w:val="20"/>
        </w:rPr>
        <w:t>Outsourcing</w:t>
      </w:r>
    </w:p>
    <w:p>
      <w:pPr>
        <w:spacing w:after="80"/>
        <w:ind w:left="170"/>
      </w:pPr>
      <w:r>
        <w:rPr>
          <w:rFonts w:ascii="Arial" w:hAnsi="Arial"/>
          <w:color w:val="163258"/>
          <w:sz w:val="24"/>
        </w:rPr>
        <w:t xml:space="preserve">• </w:t>
      </w:r>
      <w:r>
        <w:rPr>
          <w:rFonts w:ascii="Arial" w:hAnsi="Arial"/>
          <w:b w:val="0"/>
          <w:i w:val="0"/>
          <w:color w:val="163258"/>
          <w:sz w:val="20"/>
        </w:rPr>
        <w:t>Benutzerrechtemanagement (IAM)</w:t>
      </w:r>
    </w:p>
    <w:p>
      <w:pPr>
        <w:spacing w:after="80"/>
        <w:ind w:left="170"/>
      </w:pPr>
      <w:r>
        <w:rPr>
          <w:rFonts w:ascii="Arial" w:hAnsi="Arial"/>
          <w:color w:val="163258"/>
          <w:sz w:val="24"/>
        </w:rPr>
        <w:t xml:space="preserve">• </w:t>
      </w:r>
      <w:r>
        <w:rPr>
          <w:rFonts w:ascii="Arial" w:hAnsi="Arial"/>
          <w:b w:val="0"/>
          <w:i w:val="0"/>
          <w:color w:val="163258"/>
          <w:sz w:val="20"/>
        </w:rPr>
        <w:t>Datensicherheit und Datenschutz zur EU-DSGVO</w:t>
      </w:r>
    </w:p>
    <w:p>
      <w:pPr>
        <w:spacing w:after="80"/>
        <w:ind w:left="170"/>
      </w:pPr>
      <w:r>
        <w:rPr>
          <w:rFonts w:ascii="Arial" w:hAnsi="Arial"/>
          <w:color w:val="163258"/>
          <w:sz w:val="24"/>
        </w:rPr>
        <w:t xml:space="preserve">• </w:t>
      </w:r>
      <w:r>
        <w:rPr>
          <w:rFonts w:ascii="Arial" w:hAnsi="Arial"/>
          <w:b w:val="0"/>
          <w:i w:val="0"/>
          <w:color w:val="163258"/>
          <w:sz w:val="20"/>
        </w:rPr>
        <w:t>IT Compliance/IT Governance Audit nach COBIT</w:t>
      </w:r>
    </w:p>
    <w:p>
      <w:pPr>
        <w:spacing w:after="80"/>
        <w:ind w:left="170"/>
      </w:pPr>
      <w:r>
        <w:rPr>
          <w:rFonts w:ascii="Arial" w:hAnsi="Arial"/>
          <w:color w:val="163258"/>
          <w:sz w:val="24"/>
        </w:rPr>
        <w:t xml:space="preserve">• </w:t>
      </w:r>
      <w:r>
        <w:rPr>
          <w:rFonts w:ascii="Arial" w:hAnsi="Arial"/>
          <w:b w:val="0"/>
          <w:i w:val="0"/>
          <w:color w:val="163258"/>
          <w:sz w:val="20"/>
        </w:rPr>
        <w:t>Digitalisierung und Digital Transformation im Bank und Energiesektor</w:t>
      </w:r>
    </w:p>
    <w:p>
      <w:pPr>
        <w:spacing w:after="80"/>
        <w:ind w:left="170"/>
      </w:pPr>
      <w:r>
        <w:rPr>
          <w:rFonts w:ascii="Arial" w:hAnsi="Arial"/>
          <w:color w:val="163258"/>
          <w:sz w:val="24"/>
        </w:rPr>
        <w:t xml:space="preserve">• </w:t>
      </w:r>
      <w:r>
        <w:rPr>
          <w:rFonts w:ascii="Arial" w:hAnsi="Arial"/>
          <w:b w:val="0"/>
          <w:i w:val="0"/>
          <w:color w:val="163258"/>
          <w:sz w:val="20"/>
        </w:rPr>
        <w:t>COBIT5 Assessment</w:t>
      </w:r>
    </w:p>
    <w:p>
      <w:pPr>
        <w:spacing w:after="80"/>
        <w:ind w:left="170"/>
      </w:pPr>
      <w:r>
        <w:rPr>
          <w:rFonts w:ascii="Arial" w:hAnsi="Arial"/>
          <w:color w:val="163258"/>
          <w:sz w:val="24"/>
        </w:rPr>
        <w:t xml:space="preserve">• </w:t>
      </w:r>
      <w:r>
        <w:rPr>
          <w:rFonts w:ascii="Arial" w:hAnsi="Arial"/>
          <w:b w:val="0"/>
          <w:i w:val="0"/>
          <w:color w:val="163258"/>
          <w:sz w:val="20"/>
        </w:rPr>
        <w:t>SITB Prüfung</w:t>
      </w:r>
    </w:p>
    <w:p>
      <w:pPr>
        <w:spacing w:after="80"/>
        <w:ind w:left="170"/>
      </w:pPr>
      <w:r>
        <w:rPr>
          <w:rFonts w:ascii="Arial" w:hAnsi="Arial"/>
          <w:color w:val="163258"/>
          <w:sz w:val="24"/>
        </w:rPr>
        <w:t xml:space="preserve">• </w:t>
      </w:r>
      <w:r>
        <w:rPr>
          <w:rFonts w:ascii="Arial" w:hAnsi="Arial"/>
          <w:b w:val="0"/>
          <w:i w:val="0"/>
          <w:color w:val="163258"/>
          <w:sz w:val="20"/>
        </w:rPr>
        <w:t>Berechtigungsprüfung / Identity Management Audit / Segregation of Duties</w:t>
      </w:r>
    </w:p>
    <w:p>
      <w:pPr>
        <w:spacing w:after="80"/>
        <w:ind w:left="170"/>
      </w:pPr>
      <w:r>
        <w:rPr>
          <w:rFonts w:ascii="Arial" w:hAnsi="Arial"/>
          <w:color w:val="163258"/>
          <w:sz w:val="24"/>
        </w:rPr>
        <w:t xml:space="preserve">• </w:t>
      </w:r>
      <w:r>
        <w:rPr>
          <w:rFonts w:ascii="Arial" w:hAnsi="Arial"/>
          <w:b w:val="0"/>
          <w:i w:val="0"/>
          <w:color w:val="163258"/>
          <w:sz w:val="20"/>
        </w:rPr>
        <w:t>ORACLE Infrastrukturprojekte (IDW PS 850)</w:t>
      </w:r>
    </w:p>
    <w:p>
      <w:pPr>
        <w:spacing w:after="80"/>
        <w:ind w:left="170"/>
      </w:pPr>
      <w:r>
        <w:rPr>
          <w:rFonts w:ascii="Arial" w:hAnsi="Arial"/>
          <w:color w:val="163258"/>
          <w:sz w:val="24"/>
        </w:rPr>
        <w:t xml:space="preserve">• </w:t>
      </w:r>
      <w:r>
        <w:rPr>
          <w:rFonts w:ascii="Arial" w:hAnsi="Arial"/>
          <w:b w:val="0"/>
          <w:i w:val="0"/>
          <w:color w:val="163258"/>
          <w:sz w:val="20"/>
        </w:rPr>
        <w:t>* SAP Systeme (SOD</w:t>
      </w:r>
    </w:p>
    <w:p>
      <w:pPr>
        <w:spacing w:after="80"/>
        <w:ind w:left="170"/>
      </w:pPr>
      <w:r>
        <w:rPr>
          <w:rFonts w:ascii="Arial" w:hAnsi="Arial"/>
          <w:color w:val="163258"/>
          <w:sz w:val="24"/>
        </w:rPr>
        <w:t xml:space="preserve">• </w:t>
      </w:r>
      <w:r>
        <w:rPr>
          <w:rFonts w:ascii="Arial" w:hAnsi="Arial"/>
          <w:b w:val="0"/>
          <w:i w:val="0"/>
          <w:color w:val="163258"/>
          <w:sz w:val="20"/>
        </w:rPr>
        <w:t>GDPdU</w:t>
      </w:r>
    </w:p>
    <w:p>
      <w:pPr>
        <w:spacing w:after="80"/>
        <w:ind w:left="170"/>
      </w:pPr>
      <w:r>
        <w:rPr>
          <w:rFonts w:ascii="Arial" w:hAnsi="Arial"/>
          <w:color w:val="163258"/>
          <w:sz w:val="24"/>
        </w:rPr>
        <w:t xml:space="preserve">• </w:t>
      </w:r>
      <w:r>
        <w:rPr>
          <w:rFonts w:ascii="Arial" w:hAnsi="Arial"/>
          <w:b w:val="0"/>
          <w:i w:val="0"/>
          <w:color w:val="163258"/>
          <w:sz w:val="20"/>
        </w:rPr>
        <w:t>GoBS)</w:t>
      </w:r>
    </w:p>
    <w:p>
      <w:pPr>
        <w:spacing w:after="80"/>
        <w:ind w:left="170"/>
      </w:pPr>
      <w:r>
        <w:rPr>
          <w:rFonts w:ascii="Arial" w:hAnsi="Arial"/>
          <w:color w:val="163258"/>
          <w:sz w:val="24"/>
        </w:rPr>
        <w:t xml:space="preserve">• </w:t>
      </w:r>
      <w:r>
        <w:rPr>
          <w:rFonts w:ascii="Arial" w:hAnsi="Arial"/>
          <w:b w:val="0"/>
          <w:i w:val="0"/>
          <w:color w:val="163258"/>
          <w:sz w:val="20"/>
        </w:rPr>
        <w:t>Vendorprüfung Outsourcing (IDW PS 951 und SSAE 16)</w:t>
      </w:r>
    </w:p>
    <w:p>
      <w:pPr>
        <w:spacing w:after="80"/>
        <w:ind w:left="170"/>
      </w:pPr>
      <w:r>
        <w:rPr>
          <w:rFonts w:ascii="Arial" w:hAnsi="Arial"/>
          <w:color w:val="163258"/>
          <w:sz w:val="24"/>
        </w:rPr>
        <w:t xml:space="preserve">• </w:t>
      </w:r>
      <w:r>
        <w:rPr>
          <w:rFonts w:ascii="Arial" w:hAnsi="Arial"/>
          <w:b w:val="0"/>
          <w:i w:val="0"/>
          <w:color w:val="163258"/>
          <w:sz w:val="20"/>
        </w:rPr>
        <w:t>Auftragsdatenverarbeitung nach Bundesdatenschutzgesetz (BDSG §11)</w:t>
      </w:r>
    </w:p>
    <w:p>
      <w:pPr>
        <w:spacing w:after="80"/>
        <w:ind w:left="170"/>
      </w:pPr>
      <w:r>
        <w:rPr>
          <w:rFonts w:ascii="Arial" w:hAnsi="Arial"/>
          <w:color w:val="163258"/>
          <w:sz w:val="24"/>
        </w:rPr>
        <w:t xml:space="preserve">• </w:t>
      </w:r>
      <w:r>
        <w:rPr>
          <w:rFonts w:ascii="Arial" w:hAnsi="Arial"/>
          <w:b w:val="0"/>
          <w:i w:val="0"/>
          <w:color w:val="163258"/>
          <w:sz w:val="20"/>
        </w:rPr>
        <w:t>Project / Multi Project Management</w:t>
      </w:r>
    </w:p>
    <w:p>
      <w:pPr>
        <w:spacing w:after="80"/>
        <w:ind w:left="170"/>
      </w:pPr>
      <w:r>
        <w:rPr>
          <w:rFonts w:ascii="Arial" w:hAnsi="Arial"/>
          <w:color w:val="163258"/>
          <w:sz w:val="24"/>
        </w:rPr>
        <w:t xml:space="preserve">• </w:t>
      </w:r>
      <w:r>
        <w:rPr>
          <w:rFonts w:ascii="Arial" w:hAnsi="Arial"/>
          <w:b w:val="0"/>
          <w:i w:val="0"/>
          <w:color w:val="163258"/>
          <w:sz w:val="20"/>
        </w:rPr>
        <w:t>Migrationsprojekte in IT Infrastrukturen</w:t>
      </w:r>
    </w:p>
    <w:p>
      <w:pPr>
        <w:spacing w:after="80"/>
        <w:ind w:left="170"/>
      </w:pPr>
      <w:r>
        <w:rPr>
          <w:rFonts w:ascii="Arial" w:hAnsi="Arial"/>
          <w:color w:val="163258"/>
          <w:sz w:val="24"/>
        </w:rPr>
        <w:t xml:space="preserve">• </w:t>
      </w:r>
      <w:r>
        <w:rPr>
          <w:rFonts w:ascii="Arial" w:hAnsi="Arial"/>
          <w:b w:val="0"/>
          <w:i w:val="0"/>
          <w:color w:val="163258"/>
          <w:sz w:val="20"/>
        </w:rPr>
        <w:t>Trading Systeme</w:t>
      </w:r>
    </w:p>
    <w:p>
      <w:pPr>
        <w:spacing w:after="80"/>
        <w:ind w:left="170"/>
      </w:pPr>
      <w:r>
        <w:rPr>
          <w:rFonts w:ascii="Arial" w:hAnsi="Arial"/>
          <w:color w:val="163258"/>
          <w:sz w:val="24"/>
        </w:rPr>
        <w:t xml:space="preserve">• </w:t>
      </w:r>
      <w:r>
        <w:rPr>
          <w:rFonts w:ascii="Arial" w:hAnsi="Arial"/>
          <w:b w:val="0"/>
          <w:i w:val="0"/>
          <w:color w:val="163258"/>
          <w:sz w:val="20"/>
        </w:rPr>
        <w:t>Outsourcing / Transition Management</w:t>
      </w:r>
    </w:p>
    <w:p>
      <w:pPr>
        <w:spacing w:after="80"/>
        <w:ind w:left="170"/>
      </w:pPr>
      <w:r>
        <w:rPr>
          <w:rFonts w:ascii="Arial" w:hAnsi="Arial"/>
          <w:color w:val="163258"/>
          <w:sz w:val="24"/>
        </w:rPr>
        <w:t xml:space="preserve">• </w:t>
      </w:r>
      <w:r>
        <w:rPr>
          <w:rFonts w:ascii="Arial" w:hAnsi="Arial"/>
          <w:b w:val="0"/>
          <w:i w:val="0"/>
          <w:color w:val="163258"/>
          <w:sz w:val="20"/>
        </w:rPr>
        <w:t>ORACLE</w:t>
      </w:r>
    </w:p>
    <w:p>
      <w:pPr>
        <w:spacing w:after="80"/>
        <w:ind w:left="170"/>
      </w:pPr>
      <w:r>
        <w:rPr>
          <w:rFonts w:ascii="Arial" w:hAnsi="Arial"/>
          <w:color w:val="163258"/>
          <w:sz w:val="24"/>
        </w:rPr>
        <w:t xml:space="preserve">• </w:t>
      </w:r>
      <w:r>
        <w:rPr>
          <w:rFonts w:ascii="Arial" w:hAnsi="Arial"/>
          <w:b w:val="0"/>
          <w:i w:val="0"/>
          <w:color w:val="163258"/>
          <w:sz w:val="20"/>
        </w:rPr>
        <w:t>Performance Consulting einschlaegig seit 15 Jahren</w:t>
      </w:r>
    </w:p>
    <w:p>
      <w:pPr>
        <w:spacing w:after="80"/>
        <w:ind w:left="170"/>
      </w:pPr>
      <w:r>
        <w:rPr>
          <w:rFonts w:ascii="Arial" w:hAnsi="Arial"/>
          <w:color w:val="163258"/>
          <w:sz w:val="24"/>
        </w:rPr>
        <w:t xml:space="preserve">• </w:t>
      </w:r>
      <w:r>
        <w:rPr>
          <w:rFonts w:ascii="Arial" w:hAnsi="Arial"/>
          <w:b w:val="0"/>
          <w:i w:val="0"/>
          <w:color w:val="163258"/>
          <w:sz w:val="20"/>
        </w:rPr>
        <w:t>Standards</w:t>
      </w:r>
    </w:p>
    <w:p>
      <w:pPr>
        <w:spacing w:after="80"/>
        <w:ind w:left="170"/>
      </w:pPr>
      <w:r>
        <w:rPr>
          <w:rFonts w:ascii="Arial" w:hAnsi="Arial"/>
          <w:color w:val="163258"/>
          <w:sz w:val="24"/>
        </w:rPr>
        <w:t xml:space="preserve">• </w:t>
      </w:r>
      <w:r>
        <w:rPr>
          <w:rFonts w:ascii="Arial" w:hAnsi="Arial"/>
          <w:b w:val="0"/>
          <w:i w:val="0"/>
          <w:color w:val="163258"/>
          <w:sz w:val="20"/>
        </w:rPr>
        <w:t>* COBIT</w:t>
      </w:r>
    </w:p>
    <w:p>
      <w:pPr>
        <w:spacing w:after="80"/>
        <w:ind w:left="170"/>
      </w:pPr>
      <w:r>
        <w:rPr>
          <w:rFonts w:ascii="Arial" w:hAnsi="Arial"/>
          <w:color w:val="163258"/>
          <w:sz w:val="24"/>
        </w:rPr>
        <w:t xml:space="preserve">• </w:t>
      </w:r>
      <w:r>
        <w:rPr>
          <w:rFonts w:ascii="Arial" w:hAnsi="Arial"/>
          <w:b w:val="0"/>
          <w:i w:val="0"/>
          <w:color w:val="163258"/>
          <w:sz w:val="20"/>
        </w:rPr>
        <w:t>ITSM / ITIL / SITB</w:t>
      </w:r>
    </w:p>
    <w:p>
      <w:pPr>
        <w:spacing w:after="80"/>
        <w:ind w:left="170"/>
      </w:pPr>
      <w:r>
        <w:rPr>
          <w:rFonts w:ascii="Arial" w:hAnsi="Arial"/>
          <w:color w:val="163258"/>
          <w:sz w:val="24"/>
        </w:rPr>
        <w:t xml:space="preserve">• </w:t>
      </w:r>
      <w:r>
        <w:rPr>
          <w:rFonts w:ascii="Arial" w:hAnsi="Arial"/>
          <w:b w:val="0"/>
          <w:i w:val="0"/>
          <w:color w:val="163258"/>
          <w:sz w:val="20"/>
        </w:rPr>
        <w:t>MaRisk</w:t>
      </w:r>
    </w:p>
    <w:p>
      <w:pPr>
        <w:spacing w:after="80"/>
        <w:ind w:left="170"/>
      </w:pPr>
      <w:r>
        <w:rPr>
          <w:rFonts w:ascii="Arial" w:hAnsi="Arial"/>
          <w:color w:val="163258"/>
          <w:sz w:val="24"/>
        </w:rPr>
        <w:t xml:space="preserve">• </w:t>
      </w:r>
      <w:r>
        <w:rPr>
          <w:rFonts w:ascii="Arial" w:hAnsi="Arial"/>
          <w:b w:val="0"/>
          <w:i w:val="0"/>
          <w:color w:val="163258"/>
          <w:sz w:val="20"/>
        </w:rPr>
        <w:t>SSAE 16 / ISAE3402</w:t>
      </w:r>
    </w:p>
    <w:p>
      <w:pPr>
        <w:spacing w:after="80"/>
        <w:ind w:left="170"/>
      </w:pPr>
      <w:r>
        <w:rPr>
          <w:rFonts w:ascii="Arial" w:hAnsi="Arial"/>
          <w:color w:val="163258"/>
          <w:sz w:val="24"/>
        </w:rPr>
        <w:t xml:space="preserve">• </w:t>
      </w:r>
      <w:r>
        <w:rPr>
          <w:rFonts w:ascii="Arial" w:hAnsi="Arial"/>
          <w:b w:val="0"/>
          <w:i w:val="0"/>
          <w:color w:val="163258"/>
          <w:sz w:val="20"/>
        </w:rPr>
        <w:t>* IDW PS 951</w:t>
      </w:r>
    </w:p>
    <w:p>
      <w:pPr>
        <w:spacing w:after="80"/>
        <w:ind w:left="170"/>
      </w:pPr>
      <w:r>
        <w:rPr>
          <w:rFonts w:ascii="Arial" w:hAnsi="Arial"/>
          <w:color w:val="163258"/>
          <w:sz w:val="24"/>
        </w:rPr>
        <w:t xml:space="preserve">• </w:t>
      </w:r>
      <w:r>
        <w:rPr>
          <w:rFonts w:ascii="Arial" w:hAnsi="Arial"/>
          <w:b w:val="0"/>
          <w:i w:val="0"/>
          <w:color w:val="163258"/>
          <w:sz w:val="20"/>
        </w:rPr>
        <w:t>PS 330</w:t>
      </w:r>
    </w:p>
    <w:p>
      <w:pPr>
        <w:spacing w:after="80"/>
        <w:ind w:left="170"/>
      </w:pPr>
      <w:r>
        <w:rPr>
          <w:rFonts w:ascii="Arial" w:hAnsi="Arial"/>
          <w:color w:val="163258"/>
          <w:sz w:val="24"/>
        </w:rPr>
        <w:t xml:space="preserve">• </w:t>
      </w:r>
      <w:r>
        <w:rPr>
          <w:rFonts w:ascii="Arial" w:hAnsi="Arial"/>
          <w:b w:val="0"/>
          <w:i w:val="0"/>
          <w:color w:val="163258"/>
          <w:sz w:val="20"/>
        </w:rPr>
        <w:t>ISO 27001</w:t>
      </w:r>
    </w:p>
    <w:p>
      <w:pPr>
        <w:spacing w:after="80"/>
        <w:ind w:left="170"/>
      </w:pPr>
      <w:r>
        <w:rPr>
          <w:rFonts w:ascii="Arial" w:hAnsi="Arial"/>
          <w:color w:val="163258"/>
          <w:sz w:val="24"/>
        </w:rPr>
        <w:t xml:space="preserve">• </w:t>
      </w:r>
      <w:r>
        <w:rPr>
          <w:rFonts w:ascii="Arial" w:hAnsi="Arial"/>
          <w:b w:val="0"/>
          <w:i w:val="0"/>
          <w:color w:val="163258"/>
          <w:sz w:val="20"/>
        </w:rPr>
        <w:t>EU-DSGVO</w:t>
      </w:r>
    </w:p>
    <w:p>
      <w:pPr>
        <w:spacing w:after="80"/>
        <w:ind w:left="170"/>
      </w:pPr>
      <w:r>
        <w:rPr>
          <w:rFonts w:ascii="Arial" w:hAnsi="Arial"/>
          <w:color w:val="163258"/>
          <w:sz w:val="24"/>
        </w:rPr>
        <w:t xml:space="preserve">• </w:t>
      </w:r>
      <w:r>
        <w:rPr>
          <w:rFonts w:ascii="Arial" w:hAnsi="Arial"/>
          <w:b w:val="0"/>
          <w:i w:val="0"/>
          <w:color w:val="163258"/>
          <w:sz w:val="20"/>
        </w:rPr>
        <w:t>GWG</w:t>
      </w:r>
    </w:p>
    <w:p>
      <w:pPr>
        <w:spacing w:after="80"/>
        <w:ind w:left="170"/>
      </w:pPr>
      <w:r>
        <w:rPr>
          <w:rFonts w:ascii="Arial" w:hAnsi="Arial"/>
          <w:color w:val="163258"/>
          <w:sz w:val="24"/>
        </w:rPr>
        <w:t xml:space="preserve">• </w:t>
      </w:r>
      <w:r>
        <w:rPr>
          <w:rFonts w:ascii="Arial" w:hAnsi="Arial"/>
          <w:b w:val="0"/>
          <w:i w:val="0"/>
          <w:color w:val="163258"/>
          <w:sz w:val="20"/>
        </w:rPr>
        <w:t>Solvency II</w:t>
      </w:r>
    </w:p>
    <w:p>
      <w:pPr>
        <w:spacing w:after="80"/>
        <w:ind w:left="170"/>
      </w:pPr>
      <w:r>
        <w:rPr>
          <w:rFonts w:ascii="Arial" w:hAnsi="Arial"/>
          <w:color w:val="163258"/>
          <w:sz w:val="24"/>
        </w:rPr>
        <w:t xml:space="preserve">• </w:t>
      </w:r>
      <w:r>
        <w:rPr>
          <w:rFonts w:ascii="Arial" w:hAnsi="Arial"/>
          <w:b w:val="0"/>
          <w:i w:val="0"/>
          <w:color w:val="163258"/>
          <w:sz w:val="20"/>
        </w:rPr>
        <w:t>COBIT</w:t>
      </w:r>
    </w:p>
    <w:p>
      <w:pPr>
        <w:spacing w:after="80"/>
        <w:ind w:left="170"/>
      </w:pPr>
      <w:r>
        <w:rPr>
          <w:rFonts w:ascii="Arial" w:hAnsi="Arial"/>
          <w:color w:val="163258"/>
          <w:sz w:val="24"/>
        </w:rPr>
        <w:t xml:space="preserve">• </w:t>
      </w:r>
      <w:r>
        <w:rPr>
          <w:rFonts w:ascii="Arial" w:hAnsi="Arial"/>
          <w:b w:val="0"/>
          <w:i w:val="0"/>
          <w:color w:val="163258"/>
          <w:sz w:val="20"/>
        </w:rPr>
        <w:t>COBIT5</w:t>
      </w:r>
    </w:p>
    <w:p>
      <w:pPr>
        <w:spacing w:after="80"/>
        <w:ind w:left="170"/>
      </w:pPr>
      <w:r>
        <w:rPr>
          <w:rFonts w:ascii="Arial" w:hAnsi="Arial"/>
          <w:color w:val="163258"/>
          <w:sz w:val="24"/>
        </w:rPr>
        <w:t xml:space="preserve">• </w:t>
      </w:r>
      <w:r>
        <w:rPr>
          <w:rFonts w:ascii="Arial" w:hAnsi="Arial"/>
          <w:b w:val="0"/>
          <w:i w:val="0"/>
          <w:color w:val="163258"/>
          <w:sz w:val="20"/>
        </w:rPr>
        <w:t>SITB</w:t>
      </w:r>
    </w:p>
    <w:p>
      <w:pPr>
        <w:spacing w:after="80"/>
        <w:ind w:left="170"/>
      </w:pPr>
      <w:r>
        <w:rPr>
          <w:rFonts w:ascii="Arial" w:hAnsi="Arial"/>
          <w:color w:val="163258"/>
          <w:sz w:val="24"/>
        </w:rPr>
        <w:t xml:space="preserve">• </w:t>
      </w:r>
      <w:r>
        <w:rPr>
          <w:rFonts w:ascii="Arial" w:hAnsi="Arial"/>
          <w:b w:val="0"/>
          <w:i w:val="0"/>
          <w:color w:val="163258"/>
          <w:sz w:val="20"/>
        </w:rPr>
        <w:t>IDW PS 850</w:t>
      </w:r>
    </w:p>
    <w:p>
      <w:pPr>
        <w:spacing w:after="80"/>
        <w:ind w:left="170"/>
      </w:pPr>
      <w:r>
        <w:rPr>
          <w:rFonts w:ascii="Arial" w:hAnsi="Arial"/>
          <w:color w:val="163258"/>
          <w:sz w:val="24"/>
        </w:rPr>
        <w:t xml:space="preserve">• </w:t>
      </w:r>
      <w:r>
        <w:rPr>
          <w:rFonts w:ascii="Arial" w:hAnsi="Arial"/>
          <w:b w:val="0"/>
          <w:i w:val="0"/>
          <w:color w:val="163258"/>
          <w:sz w:val="20"/>
        </w:rPr>
        <w:t>SAP</w:t>
      </w:r>
    </w:p>
    <w:p>
      <w:pPr>
        <w:spacing w:after="80"/>
        <w:ind w:left="170"/>
      </w:pPr>
      <w:r>
        <w:rPr>
          <w:rFonts w:ascii="Arial" w:hAnsi="Arial"/>
          <w:color w:val="163258"/>
          <w:sz w:val="24"/>
        </w:rPr>
        <w:t xml:space="preserve">• </w:t>
      </w:r>
      <w:r>
        <w:rPr>
          <w:rFonts w:ascii="Arial" w:hAnsi="Arial"/>
          <w:b w:val="0"/>
          <w:i w:val="0"/>
          <w:color w:val="163258"/>
          <w:sz w:val="20"/>
        </w:rPr>
        <w:t>SOD</w:t>
      </w:r>
    </w:p>
    <w:p>
      <w:pPr>
        <w:spacing w:after="80"/>
        <w:ind w:left="170"/>
      </w:pPr>
      <w:r>
        <w:rPr>
          <w:rFonts w:ascii="Arial" w:hAnsi="Arial"/>
          <w:color w:val="163258"/>
          <w:sz w:val="24"/>
        </w:rPr>
        <w:t xml:space="preserve">• </w:t>
      </w:r>
      <w:r>
        <w:rPr>
          <w:rFonts w:ascii="Arial" w:hAnsi="Arial"/>
          <w:b w:val="0"/>
          <w:i w:val="0"/>
          <w:color w:val="163258"/>
          <w:sz w:val="20"/>
        </w:rPr>
        <w:t>GoBS</w:t>
      </w:r>
    </w:p>
    <w:p>
      <w:pPr>
        <w:spacing w:after="80"/>
        <w:ind w:left="170"/>
      </w:pPr>
      <w:r>
        <w:rPr>
          <w:rFonts w:ascii="Arial" w:hAnsi="Arial"/>
          <w:color w:val="163258"/>
          <w:sz w:val="24"/>
        </w:rPr>
        <w:t xml:space="preserve">• </w:t>
      </w:r>
      <w:r>
        <w:rPr>
          <w:rFonts w:ascii="Arial" w:hAnsi="Arial"/>
          <w:b w:val="0"/>
          <w:i w:val="0"/>
          <w:color w:val="163258"/>
          <w:sz w:val="20"/>
        </w:rPr>
        <w:t>IDW PS 951</w:t>
      </w:r>
    </w:p>
    <w:p>
      <w:pPr>
        <w:spacing w:after="80"/>
        <w:ind w:left="170"/>
      </w:pPr>
      <w:r>
        <w:rPr>
          <w:rFonts w:ascii="Arial" w:hAnsi="Arial"/>
          <w:color w:val="163258"/>
          <w:sz w:val="24"/>
        </w:rPr>
        <w:t xml:space="preserve">• </w:t>
      </w:r>
      <w:r>
        <w:rPr>
          <w:rFonts w:ascii="Arial" w:hAnsi="Arial"/>
          <w:b w:val="0"/>
          <w:i w:val="0"/>
          <w:color w:val="163258"/>
          <w:sz w:val="20"/>
        </w:rPr>
        <w:t>SSAE 16</w:t>
      </w:r>
    </w:p>
    <w:p>
      <w:pPr>
        <w:spacing w:after="80"/>
        <w:ind w:left="170"/>
      </w:pPr>
      <w:r>
        <w:rPr>
          <w:rFonts w:ascii="Arial" w:hAnsi="Arial"/>
          <w:color w:val="163258"/>
          <w:sz w:val="24"/>
        </w:rPr>
        <w:t xml:space="preserve">• </w:t>
      </w:r>
      <w:r>
        <w:rPr>
          <w:rFonts w:ascii="Arial" w:hAnsi="Arial"/>
          <w:b w:val="0"/>
          <w:i w:val="0"/>
          <w:color w:val="163258"/>
          <w:sz w:val="20"/>
        </w:rPr>
        <w:t>BDSG §11</w:t>
      </w:r>
    </w:p>
    <w:p>
      <w:pPr>
        <w:spacing w:after="80"/>
        <w:ind w:left="170"/>
      </w:pPr>
      <w:r>
        <w:rPr>
          <w:rFonts w:ascii="Arial" w:hAnsi="Arial"/>
          <w:color w:val="163258"/>
          <w:sz w:val="24"/>
        </w:rPr>
        <w:t xml:space="preserve">• </w:t>
      </w:r>
      <w:r>
        <w:rPr>
          <w:rFonts w:ascii="Arial" w:hAnsi="Arial"/>
          <w:b w:val="0"/>
          <w:i w:val="0"/>
          <w:color w:val="163258"/>
          <w:sz w:val="20"/>
        </w:rPr>
        <w:t>ITIL</w:t>
      </w:r>
    </w:p>
    <w:p>
      <w:pPr>
        <w:spacing w:before="0" w:after="240"/>
        <w:pBdr>
          <w:bottom w:val="single" w:sz="16" w:space="4" w:color="163258"/>
        </w:pBdr>
      </w:pPr>
      <w:r>
        <w:rPr>
          <w:rFonts w:ascii="Arial" w:hAnsi="Arial"/>
          <w:b/>
          <w:i w:val="0"/>
          <w:color w:val="163258"/>
          <w:sz w:val="26"/>
        </w:rPr>
        <w:t>Sonstige Informationen</w:t>
      </w:r>
    </w:p>
    <w:p>
      <w:pPr>
        <w:spacing w:after="80"/>
        <w:ind w:left="170"/>
      </w:pPr>
      <w:r>
        <w:rPr>
          <w:rFonts w:ascii="Arial" w:hAnsi="Arial"/>
          <w:b w:val="0"/>
          <w:i w:val="0"/>
          <w:color w:val="163258"/>
          <w:sz w:val="20"/>
        </w:rPr>
        <w:t>Mitgliedschaften gern auf Anfrage</w:t>
      </w:r>
      <w:r>
        <w:br/>
      </w:r>
      <w:r>
        <w:rPr>
          <w:rFonts w:ascii="Arial" w:hAnsi="Arial"/>
          <w:b w:val="0"/>
          <w:i w:val="0"/>
          <w:color w:val="163258"/>
          <w:sz w:val="20"/>
        </w:rPr>
        <w:t>Referenzen gern auf Anfrage</w:t>
      </w:r>
      <w:r>
        <w:br/>
      </w:r>
      <w:r>
        <w:br w:type="page"/>
      </w:r>
    </w:p>
    <w:p>
      <w:pPr>
        <w:spacing w:before="0" w:after="240"/>
        <w:pBdr>
          <w:bottom w:val="single" w:sz="16" w:space="4" w:color="163258"/>
        </w:pBdr>
      </w:pPr>
      <w:r>
        <w:rPr>
          <w:rFonts w:ascii="Arial" w:hAnsi="Arial"/>
          <w:b/>
          <w:i w:val="0"/>
          <w:color w:val="163258"/>
          <w:sz w:val="26"/>
        </w:rPr>
        <w:t>Berufliche Erfahrungen</w:t>
      </w: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04/2020 - 04/2021</w:t>
            </w:r>
            <w:r>
              <w:rPr>
                <w:sz w:val="22"/>
              </w:rPr>
              <w:tab/>
            </w:r>
            <w:r>
              <w:rPr>
                <w:rFonts w:ascii="Arial" w:hAnsi="Arial"/>
                <w:b/>
                <w:color w:val="163258"/>
                <w:sz w:val="26"/>
              </w:rPr>
            </w:r>
          </w:p>
          <w:p>
            <w:pPr>
              <w:spacing w:after="160"/>
            </w:pPr>
            <w:r>
              <w:rPr>
                <w:rFonts w:ascii="Arial" w:hAnsi="Arial"/>
                <w:b/>
                <w:i w:val="0"/>
                <w:color w:val="163258"/>
                <w:sz w:val="22"/>
              </w:rPr>
              <w:t>Project Manager</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SOX Compliance Framework ITGC Setup - Project Management GRC</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08/2019 - 01/2020</w:t>
            </w:r>
            <w:r>
              <w:rPr>
                <w:sz w:val="22"/>
              </w:rPr>
              <w:tab/>
            </w:r>
            <w:r>
              <w:rPr>
                <w:rFonts w:ascii="Arial" w:hAnsi="Arial"/>
                <w:b/>
                <w:color w:val="163258"/>
                <w:sz w:val="26"/>
              </w:rPr>
              <w:t>Energiesektor, Essen</w:t>
            </w:r>
          </w:p>
          <w:p>
            <w:pPr>
              <w:spacing w:after="160"/>
            </w:pPr>
            <w:r>
              <w:rPr>
                <w:rFonts w:ascii="Arial" w:hAnsi="Arial"/>
                <w:b/>
                <w:i w:val="0"/>
                <w:color w:val="163258"/>
                <w:sz w:val="22"/>
              </w:rPr>
              <w:t>Prüfungsleitung Interne Revision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Prüfungsleitung Data Privacy By Design in den Abläufen der agilen Softwareentwicklung der Bereiche Core IT/SAP und Retail Business mit Schwerpunkt auf DPIA Risikobewertungen.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02/2019 - 09/2019</w:t>
            </w:r>
            <w:r>
              <w:rPr>
                <w:sz w:val="22"/>
              </w:rPr>
              <w:tab/>
            </w:r>
            <w:r>
              <w:rPr>
                <w:rFonts w:ascii="Arial" w:hAnsi="Arial"/>
                <w:b/>
                <w:color w:val="163258"/>
                <w:sz w:val="26"/>
              </w:rPr>
              <w:t>Bank</w:t>
            </w:r>
          </w:p>
          <w:p>
            <w:pPr>
              <w:spacing w:after="160"/>
            </w:pPr>
            <w:r>
              <w:rPr>
                <w:rFonts w:ascii="Arial" w:hAnsi="Arial"/>
                <w:b/>
                <w:i w:val="0"/>
                <w:color w:val="163258"/>
                <w:sz w:val="22"/>
              </w:rPr>
              <w:t>Audit &amp; Risk Assessment- Key Control Information Security, Frankfurt/M</w:t>
            </w:r>
          </w:p>
          <w:p>
            <w:pPr>
              <w:spacing w:after="80"/>
              <w:ind w:left="227" w:hanging="170"/>
            </w:pPr>
            <w:r>
              <w:rPr>
                <w:rFonts w:ascii="Arial" w:hAnsi="Arial"/>
                <w:color w:val="163258"/>
                <w:sz w:val="24"/>
              </w:rPr>
              <w:t xml:space="preserve">• </w:t>
            </w:r>
            <w:r>
              <w:rPr>
                <w:rFonts w:ascii="Arial" w:hAnsi="Arial"/>
                <w:b w:val="0"/>
                <w:i w:val="0"/>
                <w:color w:val="163258"/>
                <w:sz w:val="20"/>
              </w:rPr>
              <w:t>SOX Bank Audit &amp; Risk Assessment- Key Control Information Security weitere Aufgaben:</w:t>
            </w:r>
          </w:p>
          <w:p>
            <w:pPr>
              <w:spacing w:after="80"/>
              <w:ind w:left="227" w:hanging="170"/>
            </w:pPr>
            <w:r>
              <w:rPr>
                <w:rFonts w:ascii="Arial" w:hAnsi="Arial"/>
                <w:color w:val="163258"/>
                <w:sz w:val="24"/>
              </w:rPr>
              <w:t xml:space="preserve">• </w:t>
            </w:r>
            <w:r>
              <w:rPr>
                <w:rFonts w:ascii="Arial" w:hAnsi="Arial"/>
                <w:b w:val="0"/>
                <w:i w:val="0"/>
                <w:color w:val="163258"/>
                <w:sz w:val="20"/>
              </w:rPr>
              <w:t>Consulting, Training und SOX Control Testing der Information Security Key Controls mit Schwerpunkt auf Cyber Resilience / IT Resilience</w:t>
            </w:r>
          </w:p>
          <w:p>
            <w:pPr>
              <w:spacing w:after="80"/>
              <w:ind w:left="227" w:hanging="170"/>
            </w:pPr>
            <w:r>
              <w:rPr>
                <w:rFonts w:ascii="Arial" w:hAnsi="Arial"/>
                <w:color w:val="163258"/>
                <w:sz w:val="24"/>
              </w:rPr>
              <w:t xml:space="preserve">• </w:t>
            </w:r>
            <w:r>
              <w:rPr>
                <w:rFonts w:ascii="Arial" w:hAnsi="Arial"/>
                <w:b w:val="0"/>
                <w:i w:val="0"/>
                <w:color w:val="163258"/>
                <w:sz w:val="20"/>
              </w:rPr>
              <w:t>Controls mit Schwerpunkt auf Cyber Resilience / IT Resilience</w:t>
            </w:r>
          </w:p>
          <w:p>
            <w:pPr>
              <w:spacing w:after="80"/>
              <w:ind w:left="227" w:hanging="170"/>
            </w:pPr>
            <w:r>
              <w:rPr>
                <w:rFonts w:ascii="Arial" w:hAnsi="Arial"/>
                <w:color w:val="163258"/>
                <w:sz w:val="24"/>
              </w:rPr>
              <w:t xml:space="preserve">• </w:t>
            </w:r>
            <w:r>
              <w:rPr>
                <w:rFonts w:ascii="Arial" w:hAnsi="Arial"/>
                <w:b w:val="0"/>
                <w:i w:val="0"/>
                <w:color w:val="163258"/>
                <w:sz w:val="20"/>
              </w:rPr>
              <w:t>Change Management / Identity Management nach BAIT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09/2018 - 12/2018</w:t>
            </w:r>
            <w:r>
              <w:rPr>
                <w:sz w:val="22"/>
              </w:rPr>
              <w:tab/>
            </w:r>
            <w:r>
              <w:rPr>
                <w:rFonts w:ascii="Arial" w:hAnsi="Arial"/>
                <w:b/>
                <w:color w:val="163258"/>
                <w:sz w:val="26"/>
              </w:rPr>
              <w:t>Bank</w:t>
            </w:r>
          </w:p>
          <w:p>
            <w:pPr>
              <w:spacing w:after="160"/>
            </w:pPr>
            <w:r>
              <w:rPr>
                <w:rFonts w:ascii="Arial" w:hAnsi="Arial"/>
                <w:b/>
                <w:i w:val="0"/>
                <w:color w:val="163258"/>
                <w:sz w:val="22"/>
              </w:rPr>
              <w:t>Audit &amp; Risk Assessment- Key Control Information Security, Frankfurt/M.</w:t>
            </w:r>
          </w:p>
          <w:p>
            <w:pPr>
              <w:spacing w:after="80"/>
              <w:ind w:left="227" w:hanging="170"/>
            </w:pPr>
            <w:r>
              <w:rPr>
                <w:rFonts w:ascii="Arial" w:hAnsi="Arial"/>
                <w:color w:val="163258"/>
                <w:sz w:val="24"/>
              </w:rPr>
              <w:t xml:space="preserve">• </w:t>
            </w:r>
            <w:r>
              <w:rPr>
                <w:rFonts w:ascii="Arial" w:hAnsi="Arial"/>
                <w:b w:val="0"/>
                <w:i w:val="0"/>
                <w:color w:val="163258"/>
                <w:sz w:val="20"/>
              </w:rPr>
              <w:t>SOX Bank Audit &amp; Risk Assessment- Key Control Information Security weitere Aufgaben:</w:t>
            </w:r>
          </w:p>
          <w:p>
            <w:pPr>
              <w:spacing w:after="80"/>
              <w:ind w:left="227" w:hanging="170"/>
            </w:pPr>
            <w:r>
              <w:rPr>
                <w:rFonts w:ascii="Arial" w:hAnsi="Arial"/>
                <w:color w:val="163258"/>
                <w:sz w:val="24"/>
              </w:rPr>
              <w:t xml:space="preserve">• </w:t>
            </w:r>
            <w:r>
              <w:rPr>
                <w:rFonts w:ascii="Arial" w:hAnsi="Arial"/>
                <w:b w:val="0"/>
                <w:i w:val="0"/>
                <w:color w:val="163258"/>
                <w:sz w:val="20"/>
              </w:rPr>
              <w:t>Consulting, Training und SOX Control Testing der Information Security Key Controls mit Schwerpunkt auf Capacity &amp; Performance Management</w:t>
            </w:r>
          </w:p>
          <w:p>
            <w:pPr>
              <w:spacing w:after="80"/>
              <w:ind w:left="227" w:hanging="170"/>
            </w:pPr>
            <w:r>
              <w:rPr>
                <w:rFonts w:ascii="Arial" w:hAnsi="Arial"/>
                <w:color w:val="163258"/>
                <w:sz w:val="24"/>
              </w:rPr>
              <w:t xml:space="preserve">• </w:t>
            </w:r>
            <w:r>
              <w:rPr>
                <w:rFonts w:ascii="Arial" w:hAnsi="Arial"/>
                <w:b w:val="0"/>
                <w:i w:val="0"/>
                <w:color w:val="163258"/>
                <w:sz w:val="20"/>
              </w:rPr>
              <w:t>Controls mit Schwerpunkt auf Capacity &amp; Performance Management.</w:t>
            </w:r>
          </w:p>
          <w:p>
            <w:pPr>
              <w:spacing w:after="80"/>
              <w:ind w:left="227" w:hanging="170"/>
            </w:pPr>
            <w:r>
              <w:rPr>
                <w:rFonts w:ascii="Arial" w:hAnsi="Arial"/>
                <w:color w:val="163258"/>
                <w:sz w:val="24"/>
              </w:rPr>
              <w:t xml:space="preserve">• </w:t>
            </w:r>
            <w:r>
              <w:rPr>
                <w:rFonts w:ascii="Arial" w:hAnsi="Arial"/>
                <w:b w:val="0"/>
                <w:i w:val="0"/>
                <w:color w:val="163258"/>
                <w:sz w:val="20"/>
              </w:rPr>
              <w:t>Redesign des Testprozesses unter Berücksichtigung bestehender Governance</w:t>
            </w:r>
          </w:p>
          <w:p>
            <w:pPr>
              <w:spacing w:after="80"/>
              <w:ind w:left="227" w:hanging="170"/>
            </w:pPr>
            <w:r>
              <w:rPr>
                <w:rFonts w:ascii="Arial" w:hAnsi="Arial"/>
                <w:color w:val="163258"/>
                <w:sz w:val="24"/>
              </w:rPr>
              <w:t xml:space="preserve">• </w:t>
            </w:r>
            <w:r>
              <w:rPr>
                <w:rFonts w:ascii="Arial" w:hAnsi="Arial"/>
                <w:b w:val="0"/>
                <w:i w:val="0"/>
                <w:color w:val="163258"/>
                <w:sz w:val="20"/>
              </w:rPr>
              <w:t>Feststellungen im Rahmen einer kompletten Prozessneuaufnahme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01/2018 - 06/2019</w:t>
            </w:r>
            <w:r>
              <w:rPr>
                <w:sz w:val="22"/>
              </w:rPr>
              <w:tab/>
            </w:r>
            <w:r>
              <w:rPr>
                <w:rFonts w:ascii="Arial" w:hAnsi="Arial"/>
                <w:b/>
                <w:color w:val="163258"/>
                <w:sz w:val="26"/>
              </w:rPr>
              <w:t>Bank</w:t>
            </w:r>
          </w:p>
          <w:p>
            <w:pPr>
              <w:spacing w:after="160"/>
            </w:pPr>
            <w:r>
              <w:rPr>
                <w:rFonts w:ascii="Arial" w:hAnsi="Arial"/>
                <w:b/>
                <w:i w:val="0"/>
                <w:color w:val="163258"/>
                <w:sz w:val="22"/>
              </w:rPr>
              <w:t>Legal Requirements Implementation, Frankfurt/M.</w:t>
            </w:r>
          </w:p>
          <w:p>
            <w:pPr>
              <w:spacing w:after="80"/>
              <w:ind w:left="227" w:hanging="170"/>
            </w:pPr>
            <w:r>
              <w:rPr>
                <w:rFonts w:ascii="Arial" w:hAnsi="Arial"/>
                <w:color w:val="163258"/>
                <w:sz w:val="24"/>
              </w:rPr>
              <w:t xml:space="preserve">• </w:t>
            </w:r>
            <w:r>
              <w:rPr>
                <w:rFonts w:ascii="Arial" w:hAnsi="Arial"/>
                <w:b w:val="0"/>
                <w:i w:val="0"/>
                <w:color w:val="163258"/>
                <w:sz w:val="20"/>
              </w:rPr>
              <w:t>KYC (Sanctions&amp;Embargo / Anti Money Laundering) weitere Aufgaben:</w:t>
            </w:r>
          </w:p>
          <w:p>
            <w:pPr>
              <w:spacing w:after="80"/>
              <w:ind w:left="227" w:hanging="170"/>
            </w:pPr>
            <w:r>
              <w:rPr>
                <w:rFonts w:ascii="Arial" w:hAnsi="Arial"/>
                <w:color w:val="163258"/>
                <w:sz w:val="24"/>
              </w:rPr>
              <w:t xml:space="preserve">• </w:t>
            </w:r>
            <w:r>
              <w:rPr>
                <w:rFonts w:ascii="Arial" w:hAnsi="Arial"/>
                <w:b w:val="0"/>
                <w:i w:val="0"/>
                <w:color w:val="163258"/>
                <w:sz w:val="20"/>
              </w:rPr>
              <w:t>Umsetzung rechtlicher Anforderungen für Name Screening Systeme nach EU-DSGVO</w:t>
            </w:r>
          </w:p>
          <w:p>
            <w:pPr>
              <w:spacing w:after="80"/>
              <w:ind w:left="227" w:hanging="170"/>
            </w:pPr>
            <w:r>
              <w:rPr>
                <w:rFonts w:ascii="Arial" w:hAnsi="Arial"/>
                <w:color w:val="163258"/>
                <w:sz w:val="24"/>
              </w:rPr>
              <w:t xml:space="preserve">• </w:t>
            </w:r>
            <w:r>
              <w:rPr>
                <w:rFonts w:ascii="Arial" w:hAnsi="Arial"/>
                <w:b w:val="0"/>
                <w:i w:val="0"/>
                <w:color w:val="163258"/>
                <w:sz w:val="20"/>
              </w:rPr>
              <w:t>GDPR Compliance Consulting im KYC Prozess (Customer Screening and Filtering) unter Berücksichtigung regulatorischer Mindestanforderungen zur Aufbewahrung im Rahmen der Bestimmungen zur Geldwäschebekämpfung und Terrorismusfinanzierung</w:t>
            </w:r>
          </w:p>
          <w:p>
            <w:pPr>
              <w:spacing w:after="80"/>
              <w:ind w:left="227" w:hanging="170"/>
            </w:pPr>
            <w:r>
              <w:rPr>
                <w:rFonts w:ascii="Arial" w:hAnsi="Arial"/>
                <w:color w:val="163258"/>
                <w:sz w:val="24"/>
              </w:rPr>
              <w:t xml:space="preserve">• </w:t>
            </w:r>
            <w:r>
              <w:rPr>
                <w:rFonts w:ascii="Arial" w:hAnsi="Arial"/>
                <w:b w:val="0"/>
                <w:i w:val="0"/>
                <w:color w:val="163258"/>
                <w:sz w:val="20"/>
              </w:rPr>
              <w:t>Filtering) unter Berücksichtigung regulatorischer Mindestanforderungen zur Aufbewahrung im Rahmen der Bestimmungen zur Geldwäschebekämpfung und Terrorismusfinanzierung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09/2017 - 01/2018</w:t>
            </w:r>
            <w:r>
              <w:rPr>
                <w:sz w:val="22"/>
              </w:rPr>
              <w:tab/>
            </w:r>
            <w:r>
              <w:rPr>
                <w:rFonts w:ascii="Arial" w:hAnsi="Arial"/>
                <w:b/>
                <w:color w:val="163258"/>
                <w:sz w:val="26"/>
              </w:rPr>
              <w:t>Förderbank</w:t>
            </w:r>
          </w:p>
          <w:p>
            <w:pPr>
              <w:spacing w:after="160"/>
            </w:pPr>
            <w:r>
              <w:rPr>
                <w:rFonts w:ascii="Arial" w:hAnsi="Arial"/>
                <w:b/>
                <w:i w:val="0"/>
                <w:color w:val="163258"/>
                <w:sz w:val="22"/>
              </w:rPr>
              <w:t>ISMS Audit / Wirtschaftsprüfung, Köln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Prüfung der bei der Bank etablierten ISMS Kontrollsystems mit Schwerpunkt IS</w:t>
            </w:r>
          </w:p>
          <w:p>
            <w:pPr>
              <w:spacing w:after="80"/>
              <w:ind w:left="227" w:hanging="170"/>
            </w:pPr>
            <w:r>
              <w:rPr>
                <w:rFonts w:ascii="Arial" w:hAnsi="Arial"/>
                <w:color w:val="163258"/>
                <w:sz w:val="24"/>
              </w:rPr>
              <w:t xml:space="preserve">• </w:t>
            </w:r>
            <w:r>
              <w:rPr>
                <w:rFonts w:ascii="Arial" w:hAnsi="Arial"/>
                <w:b w:val="0"/>
                <w:i w:val="0"/>
                <w:color w:val="163258"/>
                <w:sz w:val="20"/>
              </w:rPr>
              <w:t>Risikomanagement nach BAIT und ISO 27001 aus einer vorangegangenen Simulation einer §44-KWG Sonderprüfung.</w:t>
            </w:r>
          </w:p>
          <w:p>
            <w:pPr>
              <w:spacing w:after="80"/>
              <w:ind w:left="227" w:hanging="170"/>
            </w:pPr>
            <w:r>
              <w:rPr>
                <w:rFonts w:ascii="Arial" w:hAnsi="Arial"/>
                <w:color w:val="163258"/>
                <w:sz w:val="24"/>
              </w:rPr>
              <w:t xml:space="preserve">• </w:t>
            </w:r>
            <w:r>
              <w:rPr>
                <w:rFonts w:ascii="Arial" w:hAnsi="Arial"/>
                <w:b w:val="0"/>
                <w:i w:val="0"/>
                <w:color w:val="163258"/>
                <w:sz w:val="20"/>
              </w:rPr>
              <w:t>ISMS Prozeßprüfung 1th/2th LoD auf 44er BAIT Feststellungen - Bewertung der Prozesse des Operational Risk Managements und des IT Risk Managements</w:t>
            </w:r>
          </w:p>
          <w:p>
            <w:pPr>
              <w:spacing w:after="80"/>
              <w:ind w:left="227" w:hanging="170"/>
            </w:pPr>
            <w:r>
              <w:rPr>
                <w:rFonts w:ascii="Arial" w:hAnsi="Arial"/>
                <w:color w:val="163258"/>
                <w:sz w:val="24"/>
              </w:rPr>
              <w:t xml:space="preserve">• </w:t>
            </w:r>
            <w:r>
              <w:rPr>
                <w:rFonts w:ascii="Arial" w:hAnsi="Arial"/>
                <w:b w:val="0"/>
                <w:i w:val="0"/>
                <w:color w:val="163258"/>
                <w:sz w:val="20"/>
              </w:rPr>
              <w:t>Prüfungsbericht zu Feststellungen und Verbesserungsmaßnahmen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ISO 27001, BAIT</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05/2017 - 06/2019</w:t>
            </w:r>
            <w:r>
              <w:rPr>
                <w:sz w:val="22"/>
              </w:rPr>
              <w:tab/>
            </w:r>
            <w:r>
              <w:rPr>
                <w:rFonts w:ascii="Arial" w:hAnsi="Arial"/>
                <w:b/>
                <w:color w:val="163258"/>
                <w:sz w:val="26"/>
              </w:rPr>
              <w:t>Bank</w:t>
            </w:r>
          </w:p>
          <w:p>
            <w:pPr>
              <w:spacing w:after="160"/>
            </w:pPr>
            <w:r>
              <w:rPr>
                <w:rFonts w:ascii="Arial" w:hAnsi="Arial"/>
                <w:b/>
                <w:i w:val="0"/>
                <w:color w:val="163258"/>
                <w:sz w:val="22"/>
              </w:rPr>
              <w:t>U.S. Regulatory Compliance Control &amp; Reporting, Frankfurt/M</w:t>
            </w:r>
          </w:p>
          <w:p>
            <w:pPr>
              <w:spacing w:after="80"/>
              <w:ind w:left="227" w:hanging="170"/>
            </w:pPr>
            <w:r>
              <w:rPr>
                <w:rFonts w:ascii="Arial" w:hAnsi="Arial"/>
                <w:color w:val="163258"/>
                <w:sz w:val="24"/>
              </w:rPr>
              <w:t xml:space="preserve">• </w:t>
            </w:r>
            <w:r>
              <w:rPr>
                <w:rFonts w:ascii="Arial" w:hAnsi="Arial"/>
                <w:b w:val="0"/>
                <w:i w:val="0"/>
                <w:color w:val="163258"/>
                <w:sz w:val="20"/>
              </w:rPr>
              <w:t>KYC (Sanctions &amp; Embargo / Anti Money Laundering) weitere Aufgaben:</w:t>
            </w:r>
          </w:p>
          <w:p>
            <w:pPr>
              <w:spacing w:after="80"/>
              <w:ind w:left="227" w:hanging="170"/>
            </w:pPr>
            <w:r>
              <w:rPr>
                <w:rFonts w:ascii="Arial" w:hAnsi="Arial"/>
                <w:color w:val="163258"/>
                <w:sz w:val="24"/>
              </w:rPr>
              <w:t xml:space="preserve">• </w:t>
            </w:r>
            <w:r>
              <w:rPr>
                <w:rFonts w:ascii="Arial" w:hAnsi="Arial"/>
                <w:b w:val="0"/>
                <w:i w:val="0"/>
                <w:color w:val="163258"/>
                <w:sz w:val="20"/>
              </w:rPr>
              <w:t>Überwachung regulatorischer KYC Compliance für Transaction und Name Screening</w:t>
            </w:r>
          </w:p>
          <w:p>
            <w:pPr>
              <w:spacing w:after="80"/>
              <w:ind w:left="227" w:hanging="170"/>
            </w:pPr>
            <w:r>
              <w:rPr>
                <w:rFonts w:ascii="Arial" w:hAnsi="Arial"/>
                <w:color w:val="163258"/>
                <w:sz w:val="24"/>
              </w:rPr>
              <w:t xml:space="preserve">• </w:t>
            </w:r>
            <w:r>
              <w:rPr>
                <w:rFonts w:ascii="Arial" w:hAnsi="Arial"/>
                <w:b w:val="0"/>
                <w:i w:val="0"/>
                <w:color w:val="163258"/>
                <w:sz w:val="20"/>
              </w:rPr>
              <w:t>Systeme nach international geltenden Rechtsvorschriften und Verordnungen zur Geldwäschebekämpfung und Sanctions &amp; Embargo.</w:t>
            </w:r>
          </w:p>
          <w:p>
            <w:pPr>
              <w:spacing w:after="80"/>
              <w:ind w:left="227" w:hanging="170"/>
            </w:pPr>
            <w:r>
              <w:rPr>
                <w:rFonts w:ascii="Arial" w:hAnsi="Arial"/>
                <w:color w:val="163258"/>
                <w:sz w:val="24"/>
              </w:rPr>
              <w:t xml:space="preserve">• </w:t>
            </w:r>
            <w:r>
              <w:rPr>
                <w:rFonts w:ascii="Arial" w:hAnsi="Arial"/>
                <w:b w:val="0"/>
                <w:i w:val="0"/>
                <w:color w:val="163258"/>
                <w:sz w:val="20"/>
              </w:rPr>
              <w:t>U.S. Regulatory Compliance Function DFS / FED</w:t>
            </w:r>
          </w:p>
          <w:p>
            <w:pPr>
              <w:spacing w:after="80"/>
              <w:ind w:left="227" w:hanging="170"/>
            </w:pPr>
            <w:r>
              <w:rPr>
                <w:rFonts w:ascii="Arial" w:hAnsi="Arial"/>
                <w:color w:val="163258"/>
                <w:sz w:val="24"/>
              </w:rPr>
              <w:t xml:space="preserve">• </w:t>
            </w:r>
            <w:r>
              <w:rPr>
                <w:rFonts w:ascii="Arial" w:hAnsi="Arial"/>
                <w:b w:val="0"/>
                <w:i w:val="0"/>
                <w:color w:val="163258"/>
                <w:sz w:val="20"/>
              </w:rPr>
              <w:t>Koordination internationaler Regulierungsanfragen</w:t>
            </w:r>
          </w:p>
          <w:p>
            <w:pPr>
              <w:spacing w:after="80"/>
              <w:ind w:left="227" w:hanging="170"/>
            </w:pPr>
            <w:r>
              <w:rPr>
                <w:rFonts w:ascii="Arial" w:hAnsi="Arial"/>
                <w:color w:val="163258"/>
                <w:sz w:val="24"/>
              </w:rPr>
              <w:t xml:space="preserve">• </w:t>
            </w:r>
            <w:r>
              <w:rPr>
                <w:rFonts w:ascii="Arial" w:hAnsi="Arial"/>
                <w:b w:val="0"/>
                <w:i w:val="0"/>
                <w:color w:val="163258"/>
                <w:sz w:val="20"/>
              </w:rPr>
              <w:t>KYC Control Test Guidance für 2th Line Sanctions &amp; Embargo</w:t>
            </w:r>
          </w:p>
          <w:p>
            <w:pPr>
              <w:spacing w:after="80"/>
              <w:ind w:left="227" w:hanging="170"/>
            </w:pPr>
            <w:r>
              <w:rPr>
                <w:rFonts w:ascii="Arial" w:hAnsi="Arial"/>
                <w:color w:val="163258"/>
                <w:sz w:val="24"/>
              </w:rPr>
              <w:t xml:space="preserve">• </w:t>
            </w:r>
            <w:r>
              <w:rPr>
                <w:rFonts w:ascii="Arial" w:hAnsi="Arial"/>
                <w:b w:val="0"/>
                <w:i w:val="0"/>
                <w:color w:val="163258"/>
                <w:sz w:val="20"/>
              </w:rPr>
              <w:t>Programme Compliance Function für Screening Systeme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04/2017 - 10/2017</w:t>
            </w:r>
            <w:r>
              <w:rPr>
                <w:sz w:val="22"/>
              </w:rPr>
              <w:tab/>
            </w:r>
            <w:r>
              <w:rPr>
                <w:rFonts w:ascii="Arial" w:hAnsi="Arial"/>
                <w:b/>
                <w:color w:val="163258"/>
                <w:sz w:val="26"/>
              </w:rPr>
              <w:t>Spezialbank</w:t>
            </w:r>
          </w:p>
          <w:p>
            <w:pPr>
              <w:spacing w:after="160"/>
            </w:pPr>
            <w:r>
              <w:rPr>
                <w:rFonts w:ascii="Arial" w:hAnsi="Arial"/>
                <w:b/>
                <w:i w:val="0"/>
                <w:color w:val="163258"/>
                <w:sz w:val="22"/>
              </w:rPr>
              <w:t>IT Audit / Beratung und Vorbereitung</w:t>
            </w:r>
          </w:p>
          <w:p>
            <w:pPr>
              <w:spacing w:after="80"/>
              <w:ind w:left="227" w:hanging="170"/>
            </w:pPr>
            <w:r>
              <w:rPr>
                <w:rFonts w:ascii="Arial" w:hAnsi="Arial"/>
                <w:color w:val="163258"/>
                <w:sz w:val="24"/>
              </w:rPr>
              <w:t xml:space="preserve">• </w:t>
            </w:r>
            <w:r>
              <w:rPr>
                <w:rFonts w:ascii="Arial" w:hAnsi="Arial"/>
                <w:b w:val="0"/>
                <w:i w:val="0"/>
                <w:color w:val="163258"/>
                <w:sz w:val="20"/>
              </w:rPr>
              <w:t>IT Audit / Beratung und Vorbereitung zur BaFin §44-KWG Sonderprüfung weitere Aufgaben:</w:t>
            </w:r>
          </w:p>
          <w:p>
            <w:pPr>
              <w:spacing w:after="80"/>
              <w:ind w:left="227" w:hanging="170"/>
            </w:pPr>
            <w:r>
              <w:rPr>
                <w:rFonts w:ascii="Arial" w:hAnsi="Arial"/>
                <w:color w:val="163258"/>
                <w:sz w:val="24"/>
              </w:rPr>
              <w:t xml:space="preserve">• </w:t>
            </w:r>
            <w:r>
              <w:rPr>
                <w:rFonts w:ascii="Arial" w:hAnsi="Arial"/>
                <w:b w:val="0"/>
                <w:i w:val="0"/>
                <w:color w:val="163258"/>
                <w:sz w:val="20"/>
              </w:rPr>
              <w:t>Prüfungsbegleitende Beratung und Vorbereitung der Bank zur Umsetzung der MaRisk (BAIT) für eine 44er BaFin Sonderprüfung des IKS in den Bereichen IT Strategy and Compliance des Business Continuity Management (BCM)</w:t>
            </w:r>
          </w:p>
          <w:p>
            <w:pPr>
              <w:spacing w:after="80"/>
              <w:ind w:left="227" w:hanging="170"/>
            </w:pPr>
            <w:r>
              <w:rPr>
                <w:rFonts w:ascii="Arial" w:hAnsi="Arial"/>
                <w:color w:val="163258"/>
                <w:sz w:val="24"/>
              </w:rPr>
              <w:t xml:space="preserve">• </w:t>
            </w:r>
            <w:r>
              <w:rPr>
                <w:rFonts w:ascii="Arial" w:hAnsi="Arial"/>
                <w:b w:val="0"/>
                <w:i w:val="0"/>
                <w:color w:val="163258"/>
                <w:sz w:val="20"/>
              </w:rPr>
              <w:t>Dienstleister-/Vendor Management</w:t>
            </w:r>
          </w:p>
          <w:p>
            <w:pPr>
              <w:spacing w:after="80"/>
              <w:ind w:left="227" w:hanging="170"/>
            </w:pPr>
            <w:r>
              <w:rPr>
                <w:rFonts w:ascii="Arial" w:hAnsi="Arial"/>
                <w:color w:val="163258"/>
                <w:sz w:val="24"/>
              </w:rPr>
              <w:t xml:space="preserve">• </w:t>
            </w:r>
            <w:r>
              <w:rPr>
                <w:rFonts w:ascii="Arial" w:hAnsi="Arial"/>
                <w:b w:val="0"/>
                <w:i w:val="0"/>
                <w:color w:val="163258"/>
                <w:sz w:val="20"/>
              </w:rPr>
              <w:t>Information Risk Management</w:t>
            </w:r>
          </w:p>
          <w:p>
            <w:pPr>
              <w:spacing w:after="80"/>
              <w:ind w:left="227" w:hanging="170"/>
            </w:pPr>
            <w:r>
              <w:rPr>
                <w:rFonts w:ascii="Arial" w:hAnsi="Arial"/>
                <w:color w:val="163258"/>
                <w:sz w:val="24"/>
              </w:rPr>
              <w:t xml:space="preserve">• </w:t>
            </w:r>
            <w:r>
              <w:rPr>
                <w:rFonts w:ascii="Arial" w:hAnsi="Arial"/>
                <w:b w:val="0"/>
                <w:i w:val="0"/>
                <w:color w:val="163258"/>
                <w:sz w:val="20"/>
              </w:rPr>
              <w:t>Prozeß des Information Security Managements - IAM / Benutzerberechtigungsmanagement</w:t>
            </w:r>
          </w:p>
          <w:p>
            <w:pPr>
              <w:spacing w:after="80"/>
              <w:ind w:left="227" w:hanging="170"/>
            </w:pPr>
            <w:r>
              <w:rPr>
                <w:rFonts w:ascii="Arial" w:hAnsi="Arial"/>
                <w:color w:val="163258"/>
                <w:sz w:val="24"/>
              </w:rPr>
              <w:t xml:space="preserve">• </w:t>
            </w:r>
            <w:r>
              <w:rPr>
                <w:rFonts w:ascii="Arial" w:hAnsi="Arial"/>
                <w:b w:val="0"/>
                <w:i w:val="0"/>
                <w:color w:val="163258"/>
                <w:sz w:val="20"/>
              </w:rPr>
              <w:t>Benutzerberechtigungsmanagement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04/2017 - 04/2017</w:t>
            </w:r>
            <w:r>
              <w:rPr>
                <w:sz w:val="22"/>
              </w:rPr>
              <w:tab/>
            </w:r>
            <w:r>
              <w:rPr>
                <w:rFonts w:ascii="Arial" w:hAnsi="Arial"/>
                <w:b/>
                <w:color w:val="163258"/>
                <w:sz w:val="26"/>
              </w:rPr>
              <w:t>Versicherungsgruppe</w:t>
            </w:r>
          </w:p>
          <w:p>
            <w:pPr>
              <w:spacing w:after="160"/>
            </w:pPr>
            <w:r>
              <w:rPr>
                <w:rFonts w:ascii="Arial" w:hAnsi="Arial"/>
                <w:b/>
                <w:i w:val="0"/>
                <w:color w:val="163258"/>
                <w:sz w:val="22"/>
              </w:rPr>
              <w:t>Leitung und Coaching - Revision der Agile Projekte</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Pre Implementation Audit für rechnungslegungsrelevantes Migration Programme.</w:t>
            </w:r>
          </w:p>
          <w:p>
            <w:pPr>
              <w:spacing w:after="80"/>
              <w:ind w:left="227" w:hanging="170"/>
            </w:pPr>
            <w:r>
              <w:rPr>
                <w:rFonts w:ascii="Arial" w:hAnsi="Arial"/>
                <w:color w:val="163258"/>
                <w:sz w:val="24"/>
              </w:rPr>
              <w:t xml:space="preserve">• </w:t>
            </w:r>
            <w:r>
              <w:rPr>
                <w:rFonts w:ascii="Arial" w:hAnsi="Arial"/>
                <w:b w:val="0"/>
                <w:i w:val="0"/>
                <w:color w:val="163258"/>
                <w:sz w:val="20"/>
              </w:rPr>
              <w:t>Absicherung der Risiken des Agile Projektansatzes im Auftrag des Vorstands.</w:t>
            </w:r>
          </w:p>
          <w:p>
            <w:pPr>
              <w:spacing w:after="80"/>
              <w:ind w:left="227" w:hanging="170"/>
            </w:pPr>
            <w:r>
              <w:rPr>
                <w:rFonts w:ascii="Arial" w:hAnsi="Arial"/>
                <w:color w:val="163258"/>
                <w:sz w:val="24"/>
              </w:rPr>
              <w:t xml:space="preserve">• </w:t>
            </w:r>
            <w:r>
              <w:rPr>
                <w:rFonts w:ascii="Arial" w:hAnsi="Arial"/>
                <w:b w:val="0"/>
                <w:i w:val="0"/>
                <w:color w:val="163258"/>
                <w:sz w:val="20"/>
              </w:rPr>
              <w:t>Absicherung der Risiken zu Informationssicherheit nach ISO 27001/ Fraud Prevention Geldwäsche (GWG) / Datenschutz nach EU-DSGVO</w:t>
            </w:r>
          </w:p>
          <w:p>
            <w:pPr>
              <w:spacing w:after="80"/>
              <w:ind w:left="227" w:hanging="170"/>
            </w:pPr>
            <w:r>
              <w:rPr>
                <w:rFonts w:ascii="Arial" w:hAnsi="Arial"/>
                <w:color w:val="163258"/>
                <w:sz w:val="24"/>
              </w:rPr>
              <w:t xml:space="preserve">• </w:t>
            </w:r>
            <w:r>
              <w:rPr>
                <w:rFonts w:ascii="Arial" w:hAnsi="Arial"/>
                <w:b w:val="0"/>
                <w:i w:val="0"/>
                <w:color w:val="163258"/>
                <w:sz w:val="20"/>
              </w:rPr>
              <w:t>Prevention Geldwäsche (GWG) / Datenschutz nach EU-DSGVO</w:t>
            </w:r>
          </w:p>
          <w:p>
            <w:pPr>
              <w:spacing w:after="80"/>
              <w:ind w:left="227" w:hanging="170"/>
            </w:pPr>
            <w:r>
              <w:rPr>
                <w:rFonts w:ascii="Arial" w:hAnsi="Arial"/>
                <w:color w:val="163258"/>
                <w:sz w:val="24"/>
              </w:rPr>
              <w:t xml:space="preserve">• </w:t>
            </w:r>
            <w:r>
              <w:rPr>
                <w:rFonts w:ascii="Arial" w:hAnsi="Arial"/>
                <w:b w:val="0"/>
                <w:i w:val="0"/>
                <w:color w:val="163258"/>
                <w:sz w:val="20"/>
              </w:rPr>
              <w:t>Führung des Revisionsteams in der Projektprüfung Prüfung Supplier / Vendor Management</w:t>
            </w:r>
          </w:p>
          <w:p>
            <w:pPr>
              <w:spacing w:after="80"/>
              <w:ind w:left="227" w:hanging="170"/>
            </w:pPr>
            <w:r>
              <w:rPr>
                <w:rFonts w:ascii="Arial" w:hAnsi="Arial"/>
                <w:color w:val="163258"/>
                <w:sz w:val="24"/>
              </w:rPr>
              <w:t xml:space="preserve">• </w:t>
            </w:r>
            <w:r>
              <w:rPr>
                <w:rFonts w:ascii="Arial" w:hAnsi="Arial"/>
                <w:b w:val="0"/>
                <w:i w:val="0"/>
                <w:color w:val="163258"/>
                <w:sz w:val="20"/>
              </w:rPr>
              <w:t>Prüfung und Absicherung Information Security des Data Center Betriebs</w:t>
            </w:r>
          </w:p>
          <w:p>
            <w:pPr>
              <w:spacing w:after="80"/>
              <w:ind w:left="227" w:hanging="170"/>
            </w:pPr>
            <w:r>
              <w:rPr>
                <w:rFonts w:ascii="Arial" w:hAnsi="Arial"/>
                <w:color w:val="163258"/>
                <w:sz w:val="24"/>
              </w:rPr>
              <w:t xml:space="preserve">• </w:t>
            </w:r>
            <w:r>
              <w:rPr>
                <w:rFonts w:ascii="Arial" w:hAnsi="Arial"/>
                <w:b w:val="0"/>
                <w:i w:val="0"/>
                <w:color w:val="163258"/>
                <w:sz w:val="20"/>
              </w:rPr>
              <w:t>ISO 27001 / EU-DSGVO / GWG / Solvency II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ISO 27001, EU-DSGVO, Solvency II, GWG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12/2016 - 06/2017</w:t>
            </w:r>
            <w:r>
              <w:rPr>
                <w:sz w:val="22"/>
              </w:rPr>
              <w:tab/>
            </w:r>
            <w:r>
              <w:rPr>
                <w:rFonts w:ascii="Arial" w:hAnsi="Arial"/>
                <w:b/>
                <w:color w:val="163258"/>
                <w:sz w:val="26"/>
              </w:rPr>
              <w:t>Banken, Luftfahrt, Media</w:t>
            </w:r>
          </w:p>
          <w:p>
            <w:pPr>
              <w:spacing w:after="160"/>
            </w:pPr>
            <w:r>
              <w:rPr>
                <w:rFonts w:ascii="Arial" w:hAnsi="Arial"/>
                <w:b/>
                <w:i w:val="0"/>
                <w:color w:val="163258"/>
                <w:sz w:val="22"/>
              </w:rPr>
              <w:t>Auditor</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Prüfungsbegleitende Beratung der Wirtschaftsprüfung und Prüfung der IT General Controls (ITGC) des internen Kontrollsystems (IKS) nach IDW Standard PS 330 im Rahmen der laufenden Jahresabschlußprüfungen (Operational Risks) der Mandanten u.a. in ISMS (Information Security), IAM (AD Identity Access)</w:t>
            </w:r>
          </w:p>
          <w:p>
            <w:pPr>
              <w:spacing w:after="80"/>
              <w:ind w:left="227" w:hanging="170"/>
            </w:pPr>
            <w:r>
              <w:rPr>
                <w:rFonts w:ascii="Arial" w:hAnsi="Arial"/>
                <w:color w:val="163258"/>
                <w:sz w:val="24"/>
              </w:rPr>
              <w:t xml:space="preserve">• </w:t>
            </w:r>
            <w:r>
              <w:rPr>
                <w:rFonts w:ascii="Arial" w:hAnsi="Arial"/>
                <w:b w:val="0"/>
                <w:i w:val="0"/>
                <w:color w:val="163258"/>
                <w:sz w:val="20"/>
              </w:rPr>
              <w:t>Controls (ITGC) des internen Kontrollsystems (IKS) nach IDW Standard PS 330 im Rahmen der laufenden Jahresabschlußprüfungen (Operational Risks) der Mandanten u.a.</w:t>
            </w:r>
          </w:p>
          <w:p>
            <w:pPr>
              <w:spacing w:after="80"/>
              <w:ind w:left="227" w:hanging="170"/>
            </w:pPr>
            <w:r>
              <w:rPr>
                <w:rFonts w:ascii="Arial" w:hAnsi="Arial"/>
                <w:color w:val="163258"/>
                <w:sz w:val="24"/>
              </w:rPr>
              <w:t xml:space="preserve">• </w:t>
            </w:r>
            <w:r>
              <w:rPr>
                <w:rFonts w:ascii="Arial" w:hAnsi="Arial"/>
                <w:b w:val="0"/>
                <w:i w:val="0"/>
                <w:color w:val="163258"/>
                <w:sz w:val="20"/>
              </w:rPr>
              <w:t>in ISMS (Information Security), IAM (AD Identity Access)</w:t>
            </w:r>
          </w:p>
          <w:p>
            <w:pPr>
              <w:spacing w:after="80"/>
              <w:ind w:left="227" w:hanging="170"/>
            </w:pPr>
            <w:r>
              <w:rPr>
                <w:rFonts w:ascii="Arial" w:hAnsi="Arial"/>
                <w:color w:val="163258"/>
                <w:sz w:val="24"/>
              </w:rPr>
              <w:t xml:space="preserve">• </w:t>
            </w:r>
            <w:r>
              <w:rPr>
                <w:rFonts w:ascii="Arial" w:hAnsi="Arial"/>
                <w:b w:val="0"/>
                <w:i w:val="0"/>
                <w:color w:val="163258"/>
                <w:sz w:val="20"/>
              </w:rPr>
              <w:t>Datenschutz</w:t>
            </w:r>
          </w:p>
          <w:p>
            <w:pPr>
              <w:spacing w:after="80"/>
              <w:ind w:left="227" w:hanging="170"/>
            </w:pPr>
            <w:r>
              <w:rPr>
                <w:rFonts w:ascii="Arial" w:hAnsi="Arial"/>
                <w:color w:val="163258"/>
                <w:sz w:val="24"/>
              </w:rPr>
              <w:t xml:space="preserve">• </w:t>
            </w:r>
            <w:r>
              <w:rPr>
                <w:rFonts w:ascii="Arial" w:hAnsi="Arial"/>
                <w:b w:val="0"/>
                <w:i w:val="0"/>
                <w:color w:val="163258"/>
                <w:sz w:val="20"/>
              </w:rPr>
              <w:t>Outsourcing / Cloud Services</w:t>
            </w:r>
          </w:p>
          <w:p>
            <w:pPr>
              <w:spacing w:after="80"/>
              <w:ind w:left="227" w:hanging="170"/>
            </w:pPr>
            <w:r>
              <w:rPr>
                <w:rFonts w:ascii="Arial" w:hAnsi="Arial"/>
                <w:color w:val="163258"/>
                <w:sz w:val="24"/>
              </w:rPr>
              <w:t xml:space="preserve">• </w:t>
            </w:r>
            <w:r>
              <w:rPr>
                <w:rFonts w:ascii="Arial" w:hAnsi="Arial"/>
                <w:b w:val="0"/>
                <w:i w:val="0"/>
                <w:color w:val="163258"/>
                <w:sz w:val="20"/>
              </w:rPr>
              <w:t>Notall- /Business Continuity (BCM) Audit.</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ISMS, IAM, BCM, ISAE3402, AD Identity Access, PS 330</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09/2016 - 02/2017</w:t>
            </w:r>
            <w:r>
              <w:rPr>
                <w:sz w:val="22"/>
              </w:rPr>
              <w:tab/>
            </w:r>
            <w:r>
              <w:rPr>
                <w:rFonts w:ascii="Arial" w:hAnsi="Arial"/>
                <w:b/>
                <w:color w:val="163258"/>
                <w:sz w:val="26"/>
              </w:rPr>
              <w:t>Bank</w:t>
            </w:r>
          </w:p>
          <w:p>
            <w:pPr>
              <w:spacing w:after="160"/>
            </w:pPr>
            <w:r>
              <w:rPr>
                <w:rFonts w:ascii="Arial" w:hAnsi="Arial"/>
                <w:b/>
                <w:i w:val="0"/>
                <w:color w:val="163258"/>
                <w:sz w:val="22"/>
              </w:rPr>
              <w:t>Auditor / IT Bank Security</w:t>
            </w:r>
          </w:p>
          <w:p>
            <w:pPr>
              <w:spacing w:after="80"/>
              <w:ind w:left="227" w:hanging="170"/>
            </w:pPr>
            <w:r>
              <w:rPr>
                <w:rFonts w:ascii="Arial" w:hAnsi="Arial"/>
                <w:color w:val="163258"/>
                <w:sz w:val="24"/>
              </w:rPr>
              <w:t xml:space="preserve">• </w:t>
            </w:r>
            <w:r>
              <w:rPr>
                <w:rFonts w:ascii="Arial" w:hAnsi="Arial"/>
                <w:b w:val="0"/>
                <w:i w:val="0"/>
                <w:color w:val="163258"/>
                <w:sz w:val="20"/>
              </w:rPr>
              <w:t>SOX Bank Audit &amp; Risk Assessment- Key Control Information Security weitere Aufgaben:</w:t>
            </w:r>
          </w:p>
          <w:p>
            <w:pPr>
              <w:spacing w:after="80"/>
              <w:ind w:left="227" w:hanging="170"/>
            </w:pPr>
            <w:r>
              <w:rPr>
                <w:rFonts w:ascii="Arial" w:hAnsi="Arial"/>
                <w:color w:val="163258"/>
                <w:sz w:val="24"/>
              </w:rPr>
              <w:t xml:space="preserve">• </w:t>
            </w:r>
            <w:r>
              <w:rPr>
                <w:rFonts w:ascii="Arial" w:hAnsi="Arial"/>
                <w:b w:val="0"/>
                <w:i w:val="0"/>
                <w:color w:val="163258"/>
                <w:sz w:val="20"/>
              </w:rPr>
              <w:t>Prüfung der Key Controls zur Informationssicherheit in den Risk Areas</w:t>
            </w:r>
          </w:p>
          <w:p>
            <w:pPr>
              <w:spacing w:after="80"/>
              <w:ind w:left="227" w:hanging="170"/>
            </w:pPr>
            <w:r>
              <w:rPr>
                <w:rFonts w:ascii="Arial" w:hAnsi="Arial"/>
                <w:color w:val="163258"/>
                <w:sz w:val="24"/>
              </w:rPr>
              <w:t xml:space="preserve">• </w:t>
            </w:r>
            <w:r>
              <w:rPr>
                <w:rFonts w:ascii="Arial" w:hAnsi="Arial"/>
                <w:b w:val="0"/>
                <w:i w:val="0"/>
                <w:color w:val="163258"/>
                <w:sz w:val="20"/>
              </w:rPr>
              <w:t>Security Monitoring, IDM (SoD – Segregation of Duties), Platform Security nach aktuellem Risk Assessments.</w:t>
            </w:r>
          </w:p>
          <w:p>
            <w:pPr>
              <w:spacing w:after="80"/>
              <w:ind w:left="227" w:hanging="170"/>
            </w:pPr>
            <w:r>
              <w:rPr>
                <w:rFonts w:ascii="Arial" w:hAnsi="Arial"/>
                <w:color w:val="163258"/>
                <w:sz w:val="24"/>
              </w:rPr>
              <w:t xml:space="preserve">• </w:t>
            </w:r>
            <w:r>
              <w:rPr>
                <w:rFonts w:ascii="Arial" w:hAnsi="Arial"/>
                <w:b w:val="0"/>
                <w:i w:val="0"/>
                <w:color w:val="163258"/>
                <w:sz w:val="20"/>
              </w:rPr>
              <w:t>Review und Abstimmung mit Information Risk Management (iRM) in der 2th Line of Defence zur Angemessenheit und Wirksamkeit der Managementkontrollen. SOX / MaRisk / ISO 27001 =====================================================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ISO 27001, SOX, MaRisk</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04/2016 - 07/2016</w:t>
            </w:r>
            <w:r>
              <w:rPr>
                <w:sz w:val="22"/>
              </w:rPr>
              <w:tab/>
            </w:r>
            <w:r>
              <w:rPr>
                <w:rFonts w:ascii="Arial" w:hAnsi="Arial"/>
                <w:b/>
                <w:color w:val="163258"/>
                <w:sz w:val="26"/>
              </w:rPr>
              <w:t>Bank</w:t>
            </w:r>
          </w:p>
          <w:p>
            <w:pPr>
              <w:spacing w:after="160"/>
            </w:pPr>
            <w:r>
              <w:rPr>
                <w:rFonts w:ascii="Arial" w:hAnsi="Arial"/>
                <w:b/>
                <w:i w:val="0"/>
                <w:color w:val="163258"/>
                <w:sz w:val="22"/>
              </w:rPr>
              <w:t>Auditor / Revision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Audit des Programme Managements auf Project Governance,</w:t>
            </w:r>
          </w:p>
          <w:p>
            <w:pPr>
              <w:spacing w:after="80"/>
              <w:ind w:left="227" w:hanging="170"/>
            </w:pPr>
            <w:r>
              <w:rPr>
                <w:rFonts w:ascii="Arial" w:hAnsi="Arial"/>
                <w:color w:val="163258"/>
                <w:sz w:val="24"/>
              </w:rPr>
              <w:t xml:space="preserve">• </w:t>
            </w:r>
            <w:r>
              <w:rPr>
                <w:rFonts w:ascii="Arial" w:hAnsi="Arial"/>
                <w:b w:val="0"/>
                <w:i w:val="0"/>
                <w:color w:val="163258"/>
                <w:sz w:val="20"/>
              </w:rPr>
              <w:t>Governance des Vendor Risk Managements (VRM) und Operational Risk Managements sowie der Cyber Security Controls nach PGF (Programme Management Framework) und den Policies, Principles &amp; Guidelines der Bank</w:t>
            </w:r>
          </w:p>
          <w:p>
            <w:pPr>
              <w:spacing w:after="80"/>
              <w:ind w:left="227" w:hanging="170"/>
            </w:pPr>
            <w:r>
              <w:rPr>
                <w:rFonts w:ascii="Arial" w:hAnsi="Arial"/>
                <w:color w:val="163258"/>
                <w:sz w:val="24"/>
              </w:rPr>
              <w:t xml:space="preserve">• </w:t>
            </w:r>
            <w:r>
              <w:rPr>
                <w:rFonts w:ascii="Arial" w:hAnsi="Arial"/>
                <w:b w:val="0"/>
                <w:i w:val="0"/>
                <w:color w:val="163258"/>
                <w:sz w:val="20"/>
              </w:rPr>
              <w:t>Risk Managements sowie der Cyber Security Controls nach PGF (Programme</w:t>
            </w:r>
          </w:p>
          <w:p>
            <w:pPr>
              <w:spacing w:after="80"/>
              <w:ind w:left="227" w:hanging="170"/>
            </w:pPr>
            <w:r>
              <w:rPr>
                <w:rFonts w:ascii="Arial" w:hAnsi="Arial"/>
                <w:color w:val="163258"/>
                <w:sz w:val="24"/>
              </w:rPr>
              <w:t xml:space="preserve">• </w:t>
            </w:r>
            <w:r>
              <w:rPr>
                <w:rFonts w:ascii="Arial" w:hAnsi="Arial"/>
                <w:b w:val="0"/>
                <w:i w:val="0"/>
                <w:color w:val="163258"/>
                <w:sz w:val="20"/>
              </w:rPr>
              <w:t>Management Framework) und den Policies, Principles &amp; Guidelines der Bank.</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03/2016 - 05/2016</w:t>
            </w:r>
            <w:r>
              <w:rPr>
                <w:sz w:val="22"/>
              </w:rPr>
              <w:tab/>
            </w:r>
            <w:r>
              <w:rPr>
                <w:rFonts w:ascii="Arial" w:hAnsi="Arial"/>
                <w:b/>
                <w:color w:val="163258"/>
                <w:sz w:val="26"/>
              </w:rPr>
              <w:t>Bank</w:t>
            </w:r>
          </w:p>
          <w:p>
            <w:pPr>
              <w:spacing w:after="160"/>
            </w:pPr>
            <w:r>
              <w:rPr>
                <w:rFonts w:ascii="Arial" w:hAnsi="Arial"/>
                <w:b/>
                <w:i w:val="0"/>
                <w:color w:val="163258"/>
                <w:sz w:val="22"/>
              </w:rPr>
              <w:t>Auditor / Revision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Audit der Programme/Project Management Boards auf Ordnungsmäßigkeit der Einhaltung der legal&amp;regulatory requirements (Datensicherheits- und Datenschutzprüfung sowie Quality Assurance des Agile Methodenansatzes im Project Management =====================================================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01/2016 - 10/2016</w:t>
            </w:r>
            <w:r>
              <w:rPr>
                <w:sz w:val="22"/>
              </w:rPr>
              <w:tab/>
            </w:r>
            <w:r>
              <w:rPr>
                <w:rFonts w:ascii="Arial" w:hAnsi="Arial"/>
                <w:b/>
                <w:color w:val="163258"/>
                <w:sz w:val="26"/>
              </w:rPr>
              <w:t>Bank</w:t>
            </w:r>
          </w:p>
          <w:p>
            <w:pPr>
              <w:spacing w:after="160"/>
            </w:pPr>
            <w:r>
              <w:rPr>
                <w:rFonts w:ascii="Arial" w:hAnsi="Arial"/>
                <w:b/>
                <w:i w:val="0"/>
                <w:color w:val="163258"/>
                <w:sz w:val="22"/>
              </w:rPr>
              <w:t>Auditor / Revision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Audit der Digitalisierungsstrategie auf Business Divison Ebene und Programme Managment hinsichtlich Zielsetzung,</w:t>
            </w:r>
          </w:p>
          <w:p>
            <w:pPr>
              <w:spacing w:after="80"/>
              <w:ind w:left="227" w:hanging="170"/>
            </w:pPr>
            <w:r>
              <w:rPr>
                <w:rFonts w:ascii="Arial" w:hAnsi="Arial"/>
                <w:color w:val="163258"/>
                <w:sz w:val="24"/>
              </w:rPr>
              <w:t xml:space="preserve">• </w:t>
            </w:r>
            <w:r>
              <w:rPr>
                <w:rFonts w:ascii="Arial" w:hAnsi="Arial"/>
                <w:b w:val="0"/>
                <w:i w:val="0"/>
                <w:color w:val="163258"/>
                <w:sz w:val="20"/>
              </w:rPr>
              <w:t>Organisationsaufbau, Portfolimanagement / Business Cases und Umsetzungsrisiken im Operational Risk Management mit FinTech / Vendors.</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01/2015 - 03/2016</w:t>
            </w:r>
            <w:r>
              <w:rPr>
                <w:sz w:val="22"/>
              </w:rPr>
              <w:tab/>
            </w:r>
            <w:r>
              <w:rPr>
                <w:rFonts w:ascii="Arial" w:hAnsi="Arial"/>
                <w:b/>
                <w:color w:val="163258"/>
                <w:sz w:val="26"/>
              </w:rPr>
              <w:t>Energie -/Stromnetzbetreiber</w:t>
            </w:r>
          </w:p>
          <w:p>
            <w:pPr>
              <w:spacing w:after="160"/>
            </w:pPr>
            <w:r>
              <w:rPr>
                <w:rFonts w:ascii="Arial" w:hAnsi="Arial"/>
                <w:b/>
                <w:i w:val="0"/>
                <w:color w:val="163258"/>
                <w:sz w:val="22"/>
              </w:rPr>
              <w:t>IT Compliance Carve Out / Outsourcing, Berlin und Hamburg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IT Compliance Carve Out / Outsourcing für Mandantenbereinigung nach BDSG weitere Aufgaben:</w:t>
            </w:r>
          </w:p>
          <w:p>
            <w:pPr>
              <w:spacing w:after="80"/>
              <w:ind w:left="227" w:hanging="170"/>
            </w:pPr>
            <w:r>
              <w:rPr>
                <w:rFonts w:ascii="Arial" w:hAnsi="Arial"/>
                <w:color w:val="163258"/>
                <w:sz w:val="24"/>
              </w:rPr>
              <w:t xml:space="preserve">• </w:t>
            </w:r>
            <w:r>
              <w:rPr>
                <w:rFonts w:ascii="Arial" w:hAnsi="Arial"/>
                <w:b w:val="0"/>
                <w:i w:val="0"/>
                <w:color w:val="163258"/>
                <w:sz w:val="20"/>
              </w:rPr>
              <w:t>Umsetzung der Mandantenbereinigung und der Löschverpflichtungen für Auslagerung eines Personal- und Einsatzkäfte Planungssystems nach BDSG im Rahmen des Gesamt Carve Out des Stromnetzbetriebs der Stadt Hamburg.</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01/2015 - 03/2016</w:t>
            </w:r>
            <w:r>
              <w:rPr>
                <w:sz w:val="22"/>
              </w:rPr>
              <w:tab/>
            </w:r>
            <w:r>
              <w:rPr>
                <w:rFonts w:ascii="Arial" w:hAnsi="Arial"/>
                <w:b/>
                <w:color w:val="163258"/>
                <w:sz w:val="26"/>
              </w:rPr>
              <w:t>Vattenfall Asset Optimization &amp; Trading, Hamburg</w:t>
            </w:r>
          </w:p>
          <w:p>
            <w:pPr>
              <w:spacing w:after="160"/>
            </w:pPr>
            <w:r>
              <w:rPr>
                <w:rFonts w:ascii="Arial" w:hAnsi="Arial"/>
                <w:b/>
                <w:i w:val="0"/>
                <w:color w:val="163258"/>
                <w:sz w:val="22"/>
              </w:rPr>
              <w:t>Service Delivery</w:t>
            </w:r>
          </w:p>
          <w:p>
            <w:pPr>
              <w:spacing w:after="80"/>
              <w:ind w:left="227" w:hanging="170"/>
            </w:pPr>
            <w:r>
              <w:rPr>
                <w:rFonts w:ascii="Arial" w:hAnsi="Arial"/>
                <w:color w:val="163258"/>
                <w:sz w:val="24"/>
              </w:rPr>
              <w:t xml:space="preserve">• </w:t>
            </w:r>
            <w:r>
              <w:rPr>
                <w:rFonts w:ascii="Arial" w:hAnsi="Arial"/>
                <w:b w:val="0"/>
                <w:i w:val="0"/>
                <w:color w:val="163258"/>
                <w:sz w:val="20"/>
              </w:rPr>
              <w:t>Risk Management Warehouse Energy Trading / Rohstoffbörsenhandel weitere Aufgaben:</w:t>
            </w:r>
          </w:p>
          <w:p>
            <w:pPr>
              <w:spacing w:after="80"/>
              <w:ind w:left="227" w:hanging="170"/>
            </w:pPr>
            <w:r>
              <w:rPr>
                <w:rFonts w:ascii="Arial" w:hAnsi="Arial"/>
                <w:color w:val="163258"/>
                <w:sz w:val="24"/>
              </w:rPr>
              <w:t xml:space="preserve">• </w:t>
            </w:r>
            <w:r>
              <w:rPr>
                <w:rFonts w:ascii="Arial" w:hAnsi="Arial"/>
                <w:b w:val="0"/>
                <w:i w:val="0"/>
                <w:color w:val="163258"/>
                <w:sz w:val="20"/>
              </w:rPr>
              <w:t>Delivery und Change Management Steuerung für IT Infrastruktur des Risk Management Warehouses im Energy Trading des Konzerns.</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10/2014 - 12/2015</w:t>
            </w:r>
            <w:r>
              <w:rPr>
                <w:sz w:val="22"/>
              </w:rPr>
              <w:tab/>
            </w:r>
            <w:r>
              <w:rPr>
                <w:rFonts w:ascii="Arial" w:hAnsi="Arial"/>
                <w:b/>
                <w:color w:val="163258"/>
                <w:sz w:val="26"/>
              </w:rPr>
              <w:t>Energie- und Stromnetzbetreiber</w:t>
            </w:r>
          </w:p>
          <w:p>
            <w:pPr>
              <w:spacing w:after="160"/>
            </w:pPr>
            <w:r>
              <w:rPr>
                <w:rFonts w:ascii="Arial" w:hAnsi="Arial"/>
                <w:b/>
                <w:i w:val="0"/>
                <w:color w:val="163258"/>
                <w:sz w:val="22"/>
              </w:rPr>
              <w:t>Projektmanagement</w:t>
            </w:r>
          </w:p>
          <w:p>
            <w:pPr>
              <w:spacing w:after="80"/>
              <w:ind w:left="227" w:hanging="170"/>
            </w:pPr>
            <w:r>
              <w:rPr>
                <w:rFonts w:ascii="Arial" w:hAnsi="Arial"/>
                <w:color w:val="163258"/>
                <w:sz w:val="24"/>
              </w:rPr>
              <w:t xml:space="preserve">• </w:t>
            </w:r>
            <w:r>
              <w:rPr>
                <w:rFonts w:ascii="Arial" w:hAnsi="Arial"/>
                <w:b w:val="0"/>
                <w:i w:val="0"/>
                <w:color w:val="163258"/>
                <w:sz w:val="20"/>
              </w:rPr>
              <w:t>Projektmanagement Carve In MOODYS Riskmanagement Reporting und Rating System weitere Aufgaben: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zum Delivery des Neuaufbaus und Migration des Moodys Risk Management Systems vom Outsourcing-Dienstleister Schuberg Philis in die Konzern IT.</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10/2013 - 12/2015</w:t>
            </w:r>
            <w:r>
              <w:rPr>
                <w:sz w:val="22"/>
              </w:rPr>
              <w:tab/>
            </w:r>
            <w:r>
              <w:rPr>
                <w:rFonts w:ascii="Arial" w:hAnsi="Arial"/>
                <w:b/>
                <w:color w:val="163258"/>
                <w:sz w:val="26"/>
              </w:rPr>
              <w:t>Energy- /Commodity Trading</w:t>
            </w:r>
          </w:p>
          <w:p>
            <w:pPr>
              <w:spacing w:after="160"/>
            </w:pPr>
            <w:r>
              <w:rPr>
                <w:rFonts w:ascii="Arial" w:hAnsi="Arial"/>
                <w:b/>
                <w:i w:val="0"/>
                <w:color w:val="163258"/>
                <w:sz w:val="22"/>
              </w:rPr>
              <w:t>Projektmanagement ,Riskmanagement, Hamburg</w:t>
            </w:r>
          </w:p>
          <w:p>
            <w:pPr>
              <w:spacing w:after="80"/>
              <w:ind w:left="227" w:hanging="170"/>
            </w:pPr>
            <w:r>
              <w:rPr>
                <w:rFonts w:ascii="Arial" w:hAnsi="Arial"/>
                <w:color w:val="163258"/>
                <w:sz w:val="24"/>
              </w:rPr>
              <w:t xml:space="preserve">• </w:t>
            </w:r>
            <w:r>
              <w:rPr>
                <w:rFonts w:ascii="Arial" w:hAnsi="Arial"/>
                <w:b w:val="0"/>
                <w:i w:val="0"/>
                <w:color w:val="163258"/>
                <w:sz w:val="20"/>
              </w:rPr>
              <w:t>Datawarehouse Commodity Trading weitere Aufgaben: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Financial Riskmanagement Reporting</w:t>
            </w:r>
          </w:p>
          <w:p>
            <w:pPr>
              <w:spacing w:after="80"/>
              <w:ind w:left="227" w:hanging="170"/>
            </w:pPr>
            <w:r>
              <w:rPr>
                <w:rFonts w:ascii="Arial" w:hAnsi="Arial"/>
                <w:color w:val="163258"/>
                <w:sz w:val="24"/>
              </w:rPr>
              <w:t xml:space="preserve">• </w:t>
            </w:r>
            <w:r>
              <w:rPr>
                <w:rFonts w:ascii="Arial" w:hAnsi="Arial"/>
                <w:b w:val="0"/>
                <w:i w:val="0"/>
                <w:color w:val="163258"/>
                <w:sz w:val="20"/>
              </w:rPr>
              <w:t>Projektmanagement zum Delivery des kompletten Bestell- und Lieferablaufs der IT Infrastruktur des Cognos TM1 basierten RiskManagement Datawarehouse im Rohstoff Börsenhandel / Trading nach Operating Maintenance Standards.</w:t>
            </w:r>
          </w:p>
          <w:p>
            <w:pPr>
              <w:spacing w:after="80"/>
              <w:ind w:left="227" w:hanging="170"/>
            </w:pPr>
            <w:r>
              <w:rPr>
                <w:rFonts w:ascii="Arial" w:hAnsi="Arial"/>
                <w:color w:val="163258"/>
                <w:sz w:val="24"/>
              </w:rPr>
              <w:t xml:space="preserve">• </w:t>
            </w:r>
            <w:r>
              <w:rPr>
                <w:rFonts w:ascii="Arial" w:hAnsi="Arial"/>
                <w:b w:val="0"/>
                <w:i w:val="0"/>
                <w:color w:val="163258"/>
                <w:sz w:val="20"/>
              </w:rPr>
              <w:t>RiskManagement Datawarehouse im Rohstoff Börsenhandel / Trading nach</w:t>
            </w:r>
          </w:p>
          <w:p>
            <w:pPr>
              <w:spacing w:after="80"/>
              <w:ind w:left="227" w:hanging="170"/>
            </w:pPr>
            <w:r>
              <w:rPr>
                <w:rFonts w:ascii="Arial" w:hAnsi="Arial"/>
                <w:color w:val="163258"/>
                <w:sz w:val="24"/>
              </w:rPr>
              <w:t xml:space="preserve">• </w:t>
            </w:r>
            <w:r>
              <w:rPr>
                <w:rFonts w:ascii="Arial" w:hAnsi="Arial"/>
                <w:b w:val="0"/>
                <w:i w:val="0"/>
                <w:color w:val="163258"/>
                <w:sz w:val="20"/>
              </w:rPr>
              <w:t>Operating Maintenance Standards.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Cognos TM1</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08/2013 - 09/2013</w:t>
            </w:r>
            <w:r>
              <w:rPr>
                <w:sz w:val="22"/>
              </w:rPr>
              <w:tab/>
            </w:r>
            <w:r>
              <w:rPr>
                <w:rFonts w:ascii="Arial" w:hAnsi="Arial"/>
                <w:b/>
                <w:color w:val="163258"/>
                <w:sz w:val="26"/>
              </w:rPr>
              <w:t>Vattenfall Trading</w:t>
            </w:r>
          </w:p>
          <w:p>
            <w:pPr>
              <w:spacing w:after="160"/>
            </w:pPr>
            <w:r>
              <w:rPr>
                <w:rFonts w:ascii="Arial" w:hAnsi="Arial"/>
                <w:b/>
                <w:i w:val="0"/>
                <w:color w:val="163258"/>
                <w:sz w:val="22"/>
              </w:rPr>
              <w:t>IT Audit Commodity Trading / OTC Derivatehandel, Hamburg/Amsterdam</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Auditbegleitung nach von E&amp;Y vorgegebenen Audit Vorgaben im eCM (Electronic Confirmation Matching PONTONXP) innerhalb des Energiebörsenhandelssystems ENDUR.</w:t>
            </w:r>
          </w:p>
          <w:p>
            <w:pPr>
              <w:spacing w:after="80"/>
              <w:ind w:left="227" w:hanging="170"/>
            </w:pPr>
            <w:r>
              <w:rPr>
                <w:rFonts w:ascii="Arial" w:hAnsi="Arial"/>
                <w:color w:val="163258"/>
                <w:sz w:val="24"/>
              </w:rPr>
              <w:t xml:space="preserve">• </w:t>
            </w:r>
            <w:r>
              <w:rPr>
                <w:rFonts w:ascii="Arial" w:hAnsi="Arial"/>
                <w:b w:val="0"/>
                <w:i w:val="0"/>
                <w:color w:val="163258"/>
                <w:sz w:val="20"/>
              </w:rPr>
              <w:t>(Electronic Confirmation Matching PONTONXP) innerhalb des Energiebörsenhandelssystems ENDUR.</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after="80"/>
              <w:ind w:left="227" w:hanging="170"/>
            </w:pPr>
            <w:r>
              <w:rPr>
                <w:rFonts w:ascii="Arial" w:hAnsi="Arial"/>
                <w:color w:val="163258"/>
                <w:sz w:val="24"/>
              </w:rPr>
              <w:t xml:space="preserve">• </w:t>
            </w:r>
            <w:r>
              <w:rPr>
                <w:rFonts w:ascii="Arial" w:hAnsi="Arial"/>
                <w:b w:val="0"/>
                <w:i w:val="0"/>
                <w:color w:val="163258"/>
                <w:sz w:val="20"/>
              </w:rPr>
              <w:t>1997 2012: Vendor Management /Outsourcing IT Infrastructure Operations</w:t>
            </w:r>
          </w:p>
          <w:p>
            <w:pPr>
              <w:spacing w:after="80"/>
              <w:ind w:left="227" w:hanging="170"/>
            </w:pPr>
            <w:r>
              <w:rPr>
                <w:rFonts w:ascii="Arial" w:hAnsi="Arial"/>
                <w:color w:val="163258"/>
                <w:sz w:val="24"/>
              </w:rPr>
              <w:t xml:space="preserve">• </w:t>
            </w:r>
            <w:r>
              <w:rPr>
                <w:rFonts w:ascii="Arial" w:hAnsi="Arial"/>
                <w:b w:val="0"/>
                <w:i w:val="0"/>
                <w:color w:val="163258"/>
                <w:sz w:val="20"/>
              </w:rPr>
              <w:t>Kunden: Bundesbehörden</w:t>
            </w:r>
          </w:p>
          <w:p>
            <w:pPr>
              <w:spacing w:after="80"/>
              <w:ind w:left="227" w:hanging="170"/>
            </w:pPr>
            <w:r>
              <w:rPr>
                <w:rFonts w:ascii="Arial" w:hAnsi="Arial"/>
                <w:color w:val="163258"/>
                <w:sz w:val="24"/>
              </w:rPr>
              <w:t xml:space="preserve">• </w:t>
            </w:r>
            <w:r>
              <w:rPr>
                <w:rFonts w:ascii="Arial" w:hAnsi="Arial"/>
                <w:b w:val="0"/>
                <w:i w:val="0"/>
                <w:color w:val="163258"/>
                <w:sz w:val="20"/>
              </w:rPr>
              <w:t>Branchen: Telekommunikation, öffentlicher Sektor, Versicherung, Logistik</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eCM, ENDUR, PONTONXP</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01/2013 - 06/2014</w:t>
            </w:r>
            <w:r>
              <w:rPr>
                <w:sz w:val="22"/>
              </w:rPr>
              <w:tab/>
            </w:r>
            <w:r>
              <w:rPr>
                <w:rFonts w:ascii="Arial" w:hAnsi="Arial"/>
                <w:b/>
                <w:color w:val="163258"/>
                <w:sz w:val="26"/>
              </w:rPr>
              <w:t>Energy- /Commodity Trading</w:t>
            </w:r>
          </w:p>
          <w:p>
            <w:pPr>
              <w:spacing w:after="160"/>
            </w:pPr>
            <w:r>
              <w:rPr>
                <w:rFonts w:ascii="Arial" w:hAnsi="Arial"/>
                <w:b/>
                <w:i w:val="0"/>
                <w:color w:val="163258"/>
                <w:sz w:val="22"/>
              </w:rPr>
              <w:t>Projektmanagement Carve Out / Outsourcing, Hamburg und Berlin</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Business Case Feinkalkulation, Projektbudget- und Ressourcenplanerstellung, Projektinitiierung, Fremdfirmensteuerung der zu liefernden Herstellerservicepakete, Projektsteuerung für die vor dem Carve Out stattfindende Migration des IT Servicebetriebs sämtlicher</w:t>
            </w:r>
          </w:p>
          <w:p>
            <w:pPr>
              <w:spacing w:after="80"/>
              <w:ind w:left="227" w:hanging="170"/>
            </w:pPr>
            <w:r>
              <w:rPr>
                <w:rFonts w:ascii="Arial" w:hAnsi="Arial"/>
                <w:color w:val="163258"/>
                <w:sz w:val="24"/>
              </w:rPr>
              <w:t xml:space="preserve">• </w:t>
            </w:r>
            <w:r>
              <w:rPr>
                <w:rFonts w:ascii="Arial" w:hAnsi="Arial"/>
                <w:b w:val="0"/>
                <w:i w:val="0"/>
                <w:color w:val="163258"/>
                <w:sz w:val="20"/>
              </w:rPr>
              <w:t>Geschäftsanwendungen</w:t>
            </w:r>
          </w:p>
          <w:p>
            <w:pPr>
              <w:spacing w:after="80"/>
              <w:ind w:left="227" w:hanging="170"/>
            </w:pPr>
            <w:r>
              <w:rPr>
                <w:rFonts w:ascii="Arial" w:hAnsi="Arial"/>
                <w:color w:val="163258"/>
                <w:sz w:val="24"/>
              </w:rPr>
              <w:t xml:space="preserve">• </w:t>
            </w:r>
            <w:r>
              <w:rPr>
                <w:rFonts w:ascii="Arial" w:hAnsi="Arial"/>
                <w:b w:val="0"/>
                <w:i w:val="0"/>
                <w:color w:val="163258"/>
                <w:sz w:val="20"/>
              </w:rPr>
              <w: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01/2012 - 12/2013</w:t>
            </w:r>
            <w:r>
              <w:rPr>
                <w:sz w:val="22"/>
              </w:rPr>
              <w:tab/>
            </w:r>
            <w:r>
              <w:rPr>
                <w:rFonts w:ascii="Arial" w:hAnsi="Arial"/>
                <w:b/>
                <w:color w:val="163258"/>
                <w:sz w:val="26"/>
              </w:rPr>
              <w:t>Vattenfall</w:t>
            </w:r>
          </w:p>
          <w:p>
            <w:pPr>
              <w:spacing w:after="160"/>
            </w:pPr>
            <w:r>
              <w:rPr>
                <w:rFonts w:ascii="Arial" w:hAnsi="Arial"/>
                <w:b/>
                <w:i w:val="0"/>
                <w:color w:val="163258"/>
                <w:sz w:val="22"/>
              </w:rPr>
              <w:t>Teamleitung</w:t>
            </w:r>
          </w:p>
          <w:p>
            <w:pPr>
              <w:spacing w:after="80"/>
              <w:ind w:left="227" w:hanging="170"/>
            </w:pPr>
            <w:r>
              <w:rPr>
                <w:rFonts w:ascii="Arial" w:hAnsi="Arial"/>
                <w:color w:val="163258"/>
                <w:sz w:val="24"/>
              </w:rPr>
              <w:t xml:space="preserve">• </w:t>
            </w:r>
            <w:r>
              <w:rPr>
                <w:rFonts w:ascii="Arial" w:hAnsi="Arial"/>
                <w:b w:val="0"/>
                <w:i w:val="0"/>
                <w:color w:val="163258"/>
                <w:sz w:val="20"/>
              </w:rPr>
              <w:t>Aufgaben:</w:t>
            </w:r>
          </w:p>
          <w:p>
            <w:pPr>
              <w:spacing w:after="80"/>
              <w:ind w:left="227" w:hanging="170"/>
            </w:pPr>
            <w:r>
              <w:rPr>
                <w:rFonts w:ascii="Arial" w:hAnsi="Arial"/>
                <w:color w:val="163258"/>
                <w:sz w:val="24"/>
              </w:rPr>
              <w:t xml:space="preserve">• </w:t>
            </w:r>
            <w:r>
              <w:rPr>
                <w:rFonts w:ascii="Arial" w:hAnsi="Arial"/>
                <w:b w:val="0"/>
                <w:i w:val="0"/>
                <w:color w:val="163258"/>
                <w:sz w:val="20"/>
              </w:rPr>
              <w:t>Coaching des Abteilungsleiters Oracle-Systembetrieb in veränderte Organisationsabläufe des Delivery-/Demand Management von integrierten IT Services.</w:t>
            </w:r>
          </w:p>
          <w:p>
            <w:pPr>
              <w:spacing w:after="80"/>
              <w:ind w:left="227" w:hanging="170"/>
            </w:pPr>
            <w:r>
              <w:rPr>
                <w:rFonts w:ascii="Arial" w:hAnsi="Arial"/>
                <w:color w:val="163258"/>
                <w:sz w:val="24"/>
              </w:rPr>
              <w:t xml:space="preserve">• </w:t>
            </w:r>
            <w:r>
              <w:rPr>
                <w:rFonts w:ascii="Arial" w:hAnsi="Arial"/>
                <w:b w:val="0"/>
                <w:i w:val="0"/>
                <w:color w:val="163258"/>
                <w:sz w:val="20"/>
              </w:rPr>
              <w:t>Organisationsabläufe des Delivery-/Demand Management von integrierten IT</w:t>
            </w:r>
          </w:p>
          <w:p>
            <w:pPr>
              <w:spacing w:after="80"/>
              <w:ind w:left="227" w:hanging="170"/>
            </w:pPr>
            <w:r>
              <w:rPr>
                <w:rFonts w:ascii="Arial" w:hAnsi="Arial"/>
                <w:color w:val="163258"/>
                <w:sz w:val="24"/>
              </w:rPr>
              <w:t xml:space="preserve">• </w:t>
            </w:r>
            <w:r>
              <w:rPr>
                <w:rFonts w:ascii="Arial" w:hAnsi="Arial"/>
                <w:b w:val="0"/>
                <w:i w:val="0"/>
                <w:color w:val="163258"/>
                <w:sz w:val="20"/>
              </w:rPr>
              <w:t>Services.</w:t>
            </w:r>
          </w:p>
          <w:p>
            <w:pPr>
              <w:spacing w:after="80"/>
              <w:ind w:left="227" w:hanging="170"/>
            </w:pPr>
            <w:r>
              <w:rPr>
                <w:rFonts w:ascii="Arial" w:hAnsi="Arial"/>
                <w:color w:val="163258"/>
                <w:sz w:val="24"/>
              </w:rPr>
              <w:t xml:space="preserve">• </w:t>
            </w:r>
            <w:r>
              <w:rPr>
                <w:rFonts w:ascii="Arial" w:hAnsi="Arial"/>
                <w:b w:val="0"/>
                <w:i w:val="0"/>
                <w:color w:val="163258"/>
                <w:sz w:val="20"/>
              </w:rPr>
              <w:t>Interims Verantwortung für bereitzustellende Service Level Agreements und IT Infrastrukturprojekte mit neuen SLA’s.</w:t>
            </w:r>
          </w:p>
          <w:p>
            <w:pPr>
              <w:spacing w:after="80"/>
              <w:ind w:left="227" w:hanging="170"/>
            </w:pPr>
            <w:r>
              <w:rPr>
                <w:rFonts w:ascii="Arial" w:hAnsi="Arial"/>
                <w:color w:val="163258"/>
                <w:sz w:val="24"/>
              </w:rPr>
              <w:t xml:space="preserve">• </w:t>
            </w:r>
            <w:r>
              <w:rPr>
                <w:rFonts w:ascii="Arial" w:hAnsi="Arial"/>
                <w:b w:val="0"/>
                <w:i w:val="0"/>
                <w:color w:val="163258"/>
                <w:sz w:val="20"/>
              </w:rPr>
              <w:t>===================================================== ==========================</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02/09 - 10/09</w:t>
            </w:r>
            <w:r>
              <w:rPr>
                <w:sz w:val="22"/>
              </w:rPr>
              <w:tab/>
            </w:r>
            <w:r>
              <w:rPr>
                <w:rFonts w:ascii="Arial" w:hAnsi="Arial"/>
                <w:b/>
                <w:color w:val="163258"/>
                <w:sz w:val="26"/>
              </w:rPr>
              <w:t>Energiekonzern</w:t>
            </w:r>
          </w:p>
          <w:p>
            <w:pPr>
              <w:spacing w:after="160"/>
            </w:pPr>
            <w:r>
              <w:rPr>
                <w:rFonts w:ascii="Arial" w:hAnsi="Arial"/>
                <w:b/>
                <w:i w:val="0"/>
                <w:color w:val="163258"/>
                <w:sz w:val="22"/>
              </w:rPr>
              <w:t>Project Management Rohstoff-Börsenhandel</w:t>
            </w:r>
          </w:p>
          <w:p>
            <w:pPr>
              <w:spacing w:after="80"/>
              <w:ind w:left="227" w:hanging="170"/>
            </w:pPr>
            <w:r>
              <w:rPr>
                <w:rFonts w:ascii="Arial" w:hAnsi="Arial"/>
                <w:color w:val="163258"/>
                <w:sz w:val="24"/>
              </w:rPr>
              <w:t xml:space="preserve">• </w:t>
            </w:r>
            <w:r>
              <w:rPr>
                <w:rFonts w:ascii="Arial" w:hAnsi="Arial"/>
                <w:b w:val="0"/>
                <w:i w:val="0"/>
                <w:color w:val="163258"/>
                <w:sz w:val="20"/>
              </w:rPr>
              <w:t>Projekt : Einführung eines Performance Management Prozesses für den Energiebörsenhandel. Konzeption und Implementation eines dreistufigen</w:t>
            </w:r>
          </w:p>
          <w:p>
            <w:pPr>
              <w:spacing w:after="80"/>
              <w:ind w:left="227" w:hanging="170"/>
            </w:pPr>
            <w:r>
              <w:rPr>
                <w:rFonts w:ascii="Arial" w:hAnsi="Arial"/>
                <w:color w:val="163258"/>
                <w:sz w:val="24"/>
              </w:rPr>
              <w:t xml:space="preserve">• </w:t>
            </w:r>
            <w:r>
              <w:rPr>
                <w:rFonts w:ascii="Arial" w:hAnsi="Arial"/>
                <w:b w:val="0"/>
                <w:i w:val="0"/>
                <w:color w:val="163258"/>
                <w:sz w:val="20"/>
              </w:rPr>
              <w:t>Performance Management Prozesses (Börsenhandelssystem ENDUR / OpenLink)</w:t>
            </w:r>
          </w:p>
          <w:p>
            <w:pPr>
              <w:spacing w:after="80"/>
              <w:ind w:left="227" w:hanging="170"/>
            </w:pPr>
            <w:r>
              <w:rPr>
                <w:rFonts w:ascii="Arial" w:hAnsi="Arial"/>
                <w:color w:val="163258"/>
                <w:sz w:val="24"/>
              </w:rPr>
              <w:t xml:space="preserve">• </w:t>
            </w:r>
            <w:r>
              <w:rPr>
                <w:rFonts w:ascii="Arial" w:hAnsi="Arial"/>
                <w:b w:val="0"/>
                <w:i w:val="0"/>
                <w:color w:val="163258"/>
                <w:sz w:val="20"/>
              </w:rPr>
              <w:t>Toolimplementation und Coaching füe Foglight Performance Analysis for Oracle.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11/08 - 01/09</w:t>
            </w:r>
            <w:r>
              <w:rPr>
                <w:sz w:val="22"/>
              </w:rPr>
              <w:tab/>
            </w:r>
            <w:r>
              <w:rPr>
                <w:rFonts w:ascii="Arial" w:hAnsi="Arial"/>
                <w:b/>
                <w:color w:val="163258"/>
                <w:sz w:val="26"/>
              </w:rPr>
              <w:t>Energiekonzern</w:t>
            </w:r>
          </w:p>
          <w:p>
            <w:pPr>
              <w:spacing w:after="160"/>
            </w:pPr>
            <w:r>
              <w:rPr>
                <w:rFonts w:ascii="Arial" w:hAnsi="Arial"/>
                <w:b/>
                <w:i w:val="0"/>
                <w:color w:val="163258"/>
                <w:sz w:val="22"/>
              </w:rPr>
              <w:t>IT Revisons-Audit Datenschutz (BDSG)</w:t>
            </w:r>
          </w:p>
          <w:p>
            <w:pPr>
              <w:spacing w:after="80"/>
              <w:ind w:left="227" w:hanging="170"/>
            </w:pPr>
            <w:r>
              <w:rPr>
                <w:rFonts w:ascii="Arial" w:hAnsi="Arial"/>
                <w:color w:val="163258"/>
                <w:sz w:val="24"/>
              </w:rPr>
              <w:t xml:space="preserve">• </w:t>
            </w:r>
            <w:r>
              <w:rPr>
                <w:rFonts w:ascii="Arial" w:hAnsi="Arial"/>
                <w:b w:val="0"/>
                <w:i w:val="0"/>
                <w:color w:val="163258"/>
                <w:sz w:val="20"/>
              </w:rPr>
              <w:t>Projekt : Begleitendes Oracle-Revisionsaudit der Wirtschaftsprüfung und Umsetzung der IT Compliance nach Prüfungsvorgaben</w:t>
            </w:r>
          </w:p>
          <w:p>
            <w:pPr>
              <w:spacing w:after="80"/>
              <w:ind w:left="227" w:hanging="170"/>
            </w:pPr>
            <w:r>
              <w:rPr>
                <w:rFonts w:ascii="Arial" w:hAnsi="Arial"/>
                <w:color w:val="163258"/>
                <w:sz w:val="24"/>
              </w:rPr>
              <w:t xml:space="preserve">• </w:t>
            </w:r>
            <w:r>
              <w:rPr>
                <w:rFonts w:ascii="Arial" w:hAnsi="Arial"/>
                <w:b w:val="0"/>
                <w:i w:val="0"/>
                <w:color w:val="163258"/>
                <w:sz w:val="20"/>
              </w:rPr>
              <w:t>(WP-Prüfstandard IDW PS 850).</w:t>
            </w:r>
          </w:p>
          <w:p>
            <w:pPr>
              <w:spacing w:after="80"/>
              <w:ind w:left="227" w:hanging="170"/>
            </w:pPr>
            <w:r>
              <w:rPr>
                <w:rFonts w:ascii="Arial" w:hAnsi="Arial"/>
                <w:color w:val="163258"/>
                <w:sz w:val="24"/>
              </w:rPr>
              <w:t xml:space="preserve">• </w:t>
            </w:r>
            <w:r>
              <w:rPr>
                <w:rFonts w:ascii="Arial" w:hAnsi="Arial"/>
                <w:b w:val="0"/>
                <w:i w:val="0"/>
                <w:color w:val="163258"/>
                <w:sz w:val="20"/>
              </w:rPr>
              <w:t>Systemaudit-Prüfung von Systemen, die nach Bundesdatenschutzgesetz relevant sind.</w:t>
            </w:r>
          </w:p>
          <w:p>
            <w:pPr>
              <w:spacing w:after="80"/>
              <w:ind w:left="227" w:hanging="170"/>
            </w:pPr>
            <w:r>
              <w:rPr>
                <w:rFonts w:ascii="Arial" w:hAnsi="Arial"/>
                <w:color w:val="163258"/>
                <w:sz w:val="24"/>
              </w:rPr>
              <w:t xml:space="preserve">• </w:t>
            </w:r>
            <w:r>
              <w:rPr>
                <w:rFonts w:ascii="Arial" w:hAnsi="Arial"/>
                <w:b w:val="0"/>
                <w:i w:val="0"/>
                <w:color w:val="163258"/>
                <w:sz w:val="20"/>
              </w:rPr>
              <w:t>Risikenanalyse zu Mißbrauch der Autoriserungen auf Oracle9i-/10g- Systemen.</w:t>
            </w:r>
          </w:p>
          <w:p>
            <w:pPr>
              <w:spacing w:after="80"/>
              <w:ind w:left="227" w:hanging="170"/>
            </w:pPr>
            <w:r>
              <w:rPr>
                <w:rFonts w:ascii="Arial" w:hAnsi="Arial"/>
                <w:color w:val="163258"/>
                <w:sz w:val="24"/>
              </w:rPr>
              <w:t xml:space="preserve">• </w:t>
            </w:r>
            <w:r>
              <w:rPr>
                <w:rFonts w:ascii="Arial" w:hAnsi="Arial"/>
                <w:b w:val="0"/>
                <w:i w:val="0"/>
                <w:color w:val="163258"/>
                <w:sz w:val="20"/>
              </w:rPr>
              <w:t>Projektmanagement zur Einführung eines formalen</w:t>
            </w:r>
          </w:p>
          <w:p>
            <w:pPr>
              <w:spacing w:after="80"/>
              <w:ind w:left="227" w:hanging="170"/>
            </w:pPr>
            <w:r>
              <w:rPr>
                <w:rFonts w:ascii="Arial" w:hAnsi="Arial"/>
                <w:color w:val="163258"/>
                <w:sz w:val="24"/>
              </w:rPr>
              <w:t xml:space="preserve">• </w:t>
            </w:r>
            <w:r>
              <w:rPr>
                <w:rFonts w:ascii="Arial" w:hAnsi="Arial"/>
                <w:b w:val="0"/>
                <w:i w:val="0"/>
                <w:color w:val="163258"/>
                <w:sz w:val="20"/>
              </w:rPr>
              <w:t>Freigabeverfahrensprozesses für schutzwürdige Daten aus Produktionssystemen an externe</w:t>
            </w:r>
          </w:p>
          <w:p>
            <w:pPr>
              <w:spacing w:after="80"/>
              <w:ind w:left="227" w:hanging="170"/>
            </w:pPr>
            <w:r>
              <w:rPr>
                <w:rFonts w:ascii="Arial" w:hAnsi="Arial"/>
                <w:color w:val="163258"/>
                <w:sz w:val="24"/>
              </w:rPr>
              <w:t xml:space="preserve">• </w:t>
            </w:r>
            <w:r>
              <w:rPr>
                <w:rFonts w:ascii="Arial" w:hAnsi="Arial"/>
                <w:b w:val="0"/>
                <w:i w:val="0"/>
                <w:color w:val="163258"/>
                <w:sz w:val="20"/>
              </w:rPr>
              <w:t>Dienstleister.</w:t>
            </w:r>
          </w:p>
          <w:p>
            <w:pPr>
              <w:spacing w:after="80"/>
              <w:ind w:left="227" w:hanging="170"/>
            </w:pPr>
            <w:r>
              <w:rPr>
                <w:rFonts w:ascii="Arial" w:hAnsi="Arial"/>
                <w:color w:val="163258"/>
                <w:sz w:val="24"/>
              </w:rPr>
              <w:t xml:space="preserve">• </w:t>
            </w:r>
            <w:r>
              <w:rPr>
                <w:rFonts w:ascii="Arial" w:hAnsi="Arial"/>
                <w:b w:val="0"/>
                <w:i w:val="0"/>
                <w:color w:val="163258"/>
                <w:sz w:val="20"/>
              </w:rPr>
              <w:t>Projektmanagement zur Einführung eines formalen Freigabeverfahrensprozesses für schutzwürdige Daten aus Produktionssystemen an externe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05/07 - 10/08</w:t>
            </w:r>
            <w:r>
              <w:rPr>
                <w:sz w:val="22"/>
              </w:rPr>
              <w:tab/>
            </w:r>
            <w:r>
              <w:rPr>
                <w:rFonts w:ascii="Arial" w:hAnsi="Arial"/>
                <w:b/>
                <w:color w:val="163258"/>
                <w:sz w:val="26"/>
              </w:rPr>
              <w:t>Energiekonzern</w:t>
            </w:r>
          </w:p>
          <w:p>
            <w:pPr>
              <w:spacing w:after="160"/>
            </w:pPr>
            <w:r>
              <w:rPr>
                <w:rFonts w:ascii="Arial" w:hAnsi="Arial"/>
                <w:b/>
                <w:i w:val="0"/>
                <w:color w:val="163258"/>
                <w:sz w:val="22"/>
              </w:rPr>
              <w:t>Project Management IT Infrastructure</w:t>
            </w:r>
          </w:p>
          <w:p>
            <w:pPr>
              <w:spacing w:after="80"/>
              <w:ind w:left="227" w:hanging="170"/>
            </w:pPr>
            <w:r>
              <w:rPr>
                <w:rFonts w:ascii="Arial" w:hAnsi="Arial"/>
                <w:color w:val="163258"/>
                <w:sz w:val="24"/>
              </w:rPr>
              <w:t xml:space="preserve">• </w:t>
            </w:r>
            <w:r>
              <w:rPr>
                <w:rFonts w:ascii="Arial" w:hAnsi="Arial"/>
                <w:b w:val="0"/>
                <w:i w:val="0"/>
                <w:color w:val="163258"/>
                <w:sz w:val="20"/>
              </w:rPr>
              <w:t>Projekt : Oracle Migration 10g zur Überführung von 60 Oracle 8i-Instanzen nach Oracle 10g.</w:t>
            </w:r>
          </w:p>
          <w:p>
            <w:pPr>
              <w:spacing w:after="80"/>
              <w:ind w:left="227" w:hanging="170"/>
            </w:pPr>
            <w:r>
              <w:rPr>
                <w:rFonts w:ascii="Arial" w:hAnsi="Arial"/>
                <w:color w:val="163258"/>
                <w:sz w:val="24"/>
              </w:rPr>
              <w:t xml:space="preserve">• </w:t>
            </w:r>
            <w:r>
              <w:rPr>
                <w:rFonts w:ascii="Arial" w:hAnsi="Arial"/>
                <w:b w:val="0"/>
                <w:i w:val="0"/>
                <w:color w:val="163258"/>
                <w:sz w:val="20"/>
              </w:rPr>
              <w:t>Projektplanung, Vorbereitung, Durchführung, Projektsteuerung und Projektverfolgung aller Migrationsteams.</w:t>
            </w:r>
          </w:p>
          <w:p>
            <w:pPr>
              <w:spacing w:after="80"/>
              <w:ind w:left="227" w:hanging="170"/>
            </w:pPr>
            <w:r>
              <w:rPr>
                <w:rFonts w:ascii="Arial" w:hAnsi="Arial"/>
                <w:color w:val="163258"/>
                <w:sz w:val="24"/>
              </w:rPr>
              <w:t xml:space="preserve">• </w:t>
            </w:r>
            <w:r>
              <w:rPr>
                <w:rFonts w:ascii="Arial" w:hAnsi="Arial"/>
                <w:b w:val="0"/>
                <w:i w:val="0"/>
                <w:color w:val="163258"/>
                <w:sz w:val="20"/>
              </w:rPr>
              <w:t>Budget- und Personalressourcenverantwortung.</w:t>
            </w:r>
          </w:p>
          <w:p>
            <w:pPr>
              <w:spacing w:after="80"/>
              <w:ind w:left="227" w:hanging="170"/>
            </w:pPr>
            <w:r>
              <w:rPr>
                <w:rFonts w:ascii="Arial" w:hAnsi="Arial"/>
                <w:color w:val="163258"/>
                <w:sz w:val="24"/>
              </w:rPr>
              <w:t xml:space="preserve">• </w:t>
            </w:r>
            <w:r>
              <w:rPr>
                <w:rFonts w:ascii="Arial" w:hAnsi="Arial"/>
                <w:b w:val="0"/>
                <w:i w:val="0"/>
                <w:color w:val="163258"/>
                <w:sz w:val="20"/>
              </w:rPr>
              <w:t>Vendor Management fuer alle Teilprojekte.</w:t>
            </w:r>
          </w:p>
          <w:p>
            <w:pPr>
              <w:spacing w:after="80"/>
              <w:ind w:left="227" w:hanging="170"/>
            </w:pPr>
            <w:r>
              <w:rPr>
                <w:rFonts w:ascii="Arial" w:hAnsi="Arial"/>
                <w:color w:val="163258"/>
                <w:sz w:val="24"/>
              </w:rPr>
              <w:t xml:space="preserve">• </w:t>
            </w:r>
            <w:r>
              <w:rPr>
                <w:rFonts w:ascii="Arial" w:hAnsi="Arial"/>
                <w:b w:val="0"/>
                <w:i w:val="0"/>
                <w:color w:val="163258"/>
                <w:sz w:val="20"/>
              </w:rPr>
              <w:t>Review der internen Maintenance-Prozesse.</w:t>
            </w:r>
          </w:p>
          <w:p>
            <w:pPr>
              <w:spacing w:after="80"/>
              <w:ind w:left="227" w:hanging="170"/>
            </w:pPr>
            <w:r>
              <w:rPr>
                <w:rFonts w:ascii="Arial" w:hAnsi="Arial"/>
                <w:color w:val="163258"/>
                <w:sz w:val="24"/>
              </w:rPr>
              <w:t xml:space="preserve">• </w:t>
            </w:r>
            <w:r>
              <w:rPr>
                <w:rFonts w:ascii="Arial" w:hAnsi="Arial"/>
                <w:b w:val="0"/>
                <w:i w:val="0"/>
                <w:color w:val="163258"/>
                <w:sz w:val="20"/>
              </w:rPr>
              <w:t>Erarbeitung von Maintenance Procedures zur Überführung neuer Services in den laufenden Betrieb.</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01/07 - 04/07</w:t>
            </w:r>
            <w:r>
              <w:rPr>
                <w:sz w:val="22"/>
              </w:rPr>
              <w:tab/>
            </w:r>
            <w:r>
              <w:rPr>
                <w:rFonts w:ascii="Arial" w:hAnsi="Arial"/>
                <w:b/>
                <w:color w:val="163258"/>
                <w:sz w:val="26"/>
              </w:rPr>
              <w:t>Versicherung / Investment Banking</w:t>
            </w:r>
          </w:p>
          <w:p>
            <w:pPr>
              <w:spacing w:after="160"/>
            </w:pPr>
            <w:r>
              <w:rPr>
                <w:rFonts w:ascii="Arial" w:hAnsi="Arial"/>
                <w:b/>
                <w:i w:val="0"/>
                <w:color w:val="163258"/>
                <w:sz w:val="22"/>
              </w:rPr>
              <w:t>ORACLE Consulting Redesign Middleware Infstructure</w:t>
            </w:r>
          </w:p>
          <w:p>
            <w:pPr>
              <w:spacing w:after="80"/>
              <w:ind w:left="227" w:hanging="170"/>
            </w:pPr>
            <w:r>
              <w:rPr>
                <w:rFonts w:ascii="Arial" w:hAnsi="Arial"/>
                <w:color w:val="163258"/>
                <w:sz w:val="24"/>
              </w:rPr>
              <w:t xml:space="preserve">• </w:t>
            </w:r>
            <w:r>
              <w:rPr>
                <w:rFonts w:ascii="Arial" w:hAnsi="Arial"/>
                <w:b w:val="0"/>
                <w:i w:val="0"/>
                <w:color w:val="163258"/>
                <w:sz w:val="20"/>
              </w:rPr>
              <w:t>Projekt : Oracle Application Server iAS 10g:</w:t>
            </w:r>
          </w:p>
          <w:p>
            <w:pPr>
              <w:spacing w:after="80"/>
              <w:ind w:left="227" w:hanging="170"/>
            </w:pPr>
            <w:r>
              <w:rPr>
                <w:rFonts w:ascii="Arial" w:hAnsi="Arial"/>
                <w:color w:val="163258"/>
                <w:sz w:val="24"/>
              </w:rPr>
              <w:t xml:space="preserve">• </w:t>
            </w:r>
            <w:r>
              <w:rPr>
                <w:rFonts w:ascii="Arial" w:hAnsi="Arial"/>
                <w:b w:val="0"/>
                <w:i w:val="0"/>
                <w:color w:val="163258"/>
                <w:sz w:val="20"/>
              </w:rPr>
              <w:t>Betriebskonzeption, Konfiguration und Administration</w:t>
            </w:r>
          </w:p>
          <w:p>
            <w:pPr>
              <w:spacing w:after="80"/>
              <w:ind w:left="227" w:hanging="170"/>
            </w:pPr>
            <w:r>
              <w:rPr>
                <w:rFonts w:ascii="Arial" w:hAnsi="Arial"/>
                <w:color w:val="163258"/>
                <w:sz w:val="24"/>
              </w:rPr>
              <w:t xml:space="preserve">• </w:t>
            </w:r>
            <w:r>
              <w:rPr>
                <w:rFonts w:ascii="Arial" w:hAnsi="Arial"/>
                <w:b w:val="0"/>
                <w:i w:val="0"/>
                <w:color w:val="163258"/>
                <w:sz w:val="20"/>
              </w:rPr>
              <w:t>Betriebs- und Wartungskonzept mit Forms-/Reports-/Discoverer-/BI Webservices als verteilte Webserver und Application Server Cluster hinsichtlich Security Guidelines,</w:t>
            </w:r>
          </w:p>
          <w:p>
            <w:pPr>
              <w:spacing w:after="80"/>
              <w:ind w:left="227" w:hanging="170"/>
            </w:pPr>
            <w:r>
              <w:rPr>
                <w:rFonts w:ascii="Arial" w:hAnsi="Arial"/>
                <w:color w:val="163258"/>
                <w:sz w:val="24"/>
              </w:rPr>
              <w:t xml:space="preserve">• </w:t>
            </w:r>
            <w:r>
              <w:rPr>
                <w:rFonts w:ascii="Arial" w:hAnsi="Arial"/>
                <w:b w:val="0"/>
                <w:i w:val="0"/>
                <w:color w:val="163258"/>
                <w:sz w:val="20"/>
              </w:rPr>
              <w:t>High Availability und Load Balancing.</w:t>
            </w:r>
          </w:p>
          <w:p>
            <w:pPr>
              <w:spacing w:after="80"/>
              <w:ind w:left="227" w:hanging="170"/>
            </w:pPr>
            <w:r>
              <w:rPr>
                <w:rFonts w:ascii="Arial" w:hAnsi="Arial"/>
                <w:color w:val="163258"/>
                <w:sz w:val="24"/>
              </w:rPr>
              <w:t xml:space="preserve">• </w:t>
            </w:r>
            <w:r>
              <w:rPr>
                <w:rFonts w:ascii="Arial" w:hAnsi="Arial"/>
                <w:b w:val="0"/>
                <w:i w:val="0"/>
                <w:color w:val="163258"/>
                <w:sz w:val="20"/>
              </w:rPr>
              <w:t>Technisches Umfeld:</w:t>
            </w:r>
          </w:p>
          <w:p>
            <w:pPr>
              <w:spacing w:after="80"/>
              <w:ind w:left="227" w:hanging="170"/>
            </w:pPr>
            <w:r>
              <w:rPr>
                <w:rFonts w:ascii="Arial" w:hAnsi="Arial"/>
                <w:color w:val="163258"/>
                <w:sz w:val="24"/>
              </w:rPr>
              <w:t xml:space="preserve">• </w:t>
            </w:r>
            <w:r>
              <w:rPr>
                <w:rFonts w:ascii="Arial" w:hAnsi="Arial"/>
                <w:b w:val="0"/>
                <w:i w:val="0"/>
                <w:color w:val="163258"/>
                <w:sz w:val="20"/>
              </w:rPr>
              <w:t>Architektur - zentrales Konzernreporting und Investmentbanking des Konzerns mit Portfoliomanagement- / Capital Market Applikationen und Market Delivery Systems.</w:t>
            </w:r>
          </w:p>
          <w:p>
            <w:pPr>
              <w:spacing w:after="80"/>
              <w:ind w:left="227" w:hanging="170"/>
            </w:pPr>
            <w:r>
              <w:rPr>
                <w:rFonts w:ascii="Arial" w:hAnsi="Arial"/>
                <w:color w:val="163258"/>
                <w:sz w:val="24"/>
              </w:rPr>
              <w:t xml:space="preserve">• </w:t>
            </w:r>
            <w:r>
              <w:rPr>
                <w:rFonts w:ascii="Arial" w:hAnsi="Arial"/>
                <w:b w:val="0"/>
                <w:i w:val="0"/>
                <w:color w:val="163258"/>
                <w:sz w:val="20"/>
              </w:rPr>
              <w:t>Sun Solaris 10, Oracle 10g Real Application Cluster / Oracle iAS 10g.</w:t>
            </w:r>
          </w:p>
          <w:p>
            <w:pPr>
              <w:spacing w:after="80"/>
              <w:ind w:left="227" w:hanging="170"/>
            </w:pPr>
            <w:r>
              <w:rPr>
                <w:rFonts w:ascii="Arial" w:hAnsi="Arial"/>
                <w:color w:val="163258"/>
                <w:sz w:val="24"/>
              </w:rPr>
              <w:t xml:space="preserve">• </w:t>
            </w:r>
            <w:r>
              <w:rPr>
                <w:rFonts w:ascii="Arial" w:hAnsi="Arial"/>
                <w:b w:val="0"/>
                <w:i w:val="0"/>
                <w:color w:val="163258"/>
                <w:sz w:val="20"/>
              </w:rPr>
              <w:t>SSO (SingleSignOn/LDAP), OC4J, SSL.</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07/06 - 12/06</w:t>
            </w:r>
            <w:r>
              <w:rPr>
                <w:sz w:val="22"/>
              </w:rPr>
              <w:tab/>
            </w:r>
            <w:r>
              <w:rPr>
                <w:rFonts w:ascii="Arial" w:hAnsi="Arial"/>
                <w:b/>
                <w:color w:val="163258"/>
                <w:sz w:val="26"/>
              </w:rPr>
              <w:t>Versicherung / Financial Industry</w:t>
            </w:r>
          </w:p>
          <w:p>
            <w:pPr>
              <w:spacing w:after="160"/>
            </w:pPr>
            <w:r>
              <w:rPr>
                <w:rFonts w:ascii="Arial" w:hAnsi="Arial"/>
                <w:b/>
                <w:i w:val="0"/>
                <w:color w:val="163258"/>
                <w:sz w:val="22"/>
              </w:rPr>
              <w:t>ORACLE Consulting Replication, Project Management Coaching</w:t>
            </w:r>
          </w:p>
          <w:p>
            <w:pPr>
              <w:spacing w:after="80"/>
              <w:ind w:left="227" w:hanging="170"/>
            </w:pPr>
            <w:r>
              <w:rPr>
                <w:rFonts w:ascii="Arial" w:hAnsi="Arial"/>
                <w:color w:val="163258"/>
                <w:sz w:val="24"/>
              </w:rPr>
              <w:t xml:space="preserve">• </w:t>
            </w:r>
            <w:r>
              <w:rPr>
                <w:rFonts w:ascii="Arial" w:hAnsi="Arial"/>
                <w:b w:val="0"/>
                <w:i w:val="0"/>
                <w:color w:val="163258"/>
                <w:sz w:val="20"/>
              </w:rPr>
              <w:t>Projekt : High Availability Replikationskonzpt, Implementation, Rollout in Oracle 10g zur Synchronisation zwischen vier weltweit verteilten autonomen Oracle 10g Instanzen.</w:t>
            </w:r>
          </w:p>
          <w:p>
            <w:pPr>
              <w:spacing w:after="80"/>
              <w:ind w:left="227" w:hanging="170"/>
            </w:pPr>
            <w:r>
              <w:rPr>
                <w:rFonts w:ascii="Arial" w:hAnsi="Arial"/>
                <w:color w:val="163258"/>
                <w:sz w:val="24"/>
              </w:rPr>
              <w:t xml:space="preserve">• </w:t>
            </w:r>
            <w:r>
              <w:rPr>
                <w:rFonts w:ascii="Arial" w:hAnsi="Arial"/>
                <w:b w:val="0"/>
                <w:i w:val="0"/>
                <w:color w:val="163258"/>
                <w:sz w:val="20"/>
              </w:rPr>
              <w:t>Die Verteilung der Datenströme erfolgt asynchron auf ganzen</w:t>
            </w:r>
          </w:p>
          <w:p>
            <w:pPr>
              <w:spacing w:after="80"/>
              <w:ind w:left="227" w:hanging="170"/>
            </w:pPr>
            <w:r>
              <w:rPr>
                <w:rFonts w:ascii="Arial" w:hAnsi="Arial"/>
                <w:color w:val="163258"/>
                <w:sz w:val="24"/>
              </w:rPr>
              <w:t xml:space="preserve">• </w:t>
            </w:r>
            <w:r>
              <w:rPr>
                <w:rFonts w:ascii="Arial" w:hAnsi="Arial"/>
                <w:b w:val="0"/>
                <w:i w:val="0"/>
                <w:color w:val="163258"/>
                <w:sz w:val="20"/>
              </w:rPr>
              <w:t>Datenbeständen und in Echtzeit in allen Richtungen.</w:t>
            </w:r>
          </w:p>
          <w:p>
            <w:pPr>
              <w:spacing w:after="80"/>
              <w:ind w:left="227" w:hanging="170"/>
            </w:pPr>
            <w:r>
              <w:rPr>
                <w:rFonts w:ascii="Arial" w:hAnsi="Arial"/>
                <w:color w:val="163258"/>
                <w:sz w:val="24"/>
              </w:rPr>
              <w:t xml:space="preserve">• </w:t>
            </w:r>
            <w:r>
              <w:rPr>
                <w:rFonts w:ascii="Arial" w:hAnsi="Arial"/>
                <w:b w:val="0"/>
                <w:i w:val="0"/>
                <w:color w:val="163258"/>
                <w:sz w:val="20"/>
              </w:rPr>
              <w:t>Weltweites Rollout Management zur Herstellung der Synchonisation aller Datenbestände.</w:t>
            </w:r>
          </w:p>
          <w:p>
            <w:pPr>
              <w:spacing w:after="80"/>
              <w:ind w:left="227" w:hanging="170"/>
            </w:pPr>
            <w:r>
              <w:rPr>
                <w:rFonts w:ascii="Arial" w:hAnsi="Arial"/>
                <w:color w:val="163258"/>
                <w:sz w:val="24"/>
              </w:rPr>
              <w:t xml:space="preserve">• </w:t>
            </w:r>
            <w:r>
              <w:rPr>
                <w:rFonts w:ascii="Arial" w:hAnsi="Arial"/>
                <w:b w:val="0"/>
                <w:i w:val="0"/>
                <w:color w:val="163258"/>
                <w:sz w:val="20"/>
              </w:rPr>
              <w:t>PL/SQL Deployment Scripting für automatisiertes Oracle Multi Master</w:t>
            </w:r>
          </w:p>
          <w:p>
            <w:pPr>
              <w:spacing w:after="80"/>
              <w:ind w:left="227" w:hanging="170"/>
            </w:pPr>
            <w:r>
              <w:rPr>
                <w:rFonts w:ascii="Arial" w:hAnsi="Arial"/>
                <w:color w:val="163258"/>
                <w:sz w:val="24"/>
              </w:rPr>
              <w:t xml:space="preserve">• </w:t>
            </w:r>
            <w:r>
              <w:rPr>
                <w:rFonts w:ascii="Arial" w:hAnsi="Arial"/>
                <w:b w:val="0"/>
                <w:i w:val="0"/>
                <w:color w:val="163258"/>
                <w:sz w:val="20"/>
              </w:rPr>
              <w:t>Replication Setup.</w:t>
            </w:r>
          </w:p>
          <w:p>
            <w:pPr>
              <w:spacing w:after="80"/>
              <w:ind w:left="227" w:hanging="170"/>
            </w:pPr>
            <w:r>
              <w:rPr>
                <w:rFonts w:ascii="Arial" w:hAnsi="Arial"/>
                <w:color w:val="163258"/>
                <w:sz w:val="24"/>
              </w:rPr>
              <w:t xml:space="preserve">• </w:t>
            </w:r>
            <w:r>
              <w:rPr>
                <w:rFonts w:ascii="Arial" w:hAnsi="Arial"/>
                <w:b w:val="0"/>
                <w:i w:val="0"/>
                <w:color w:val="163258"/>
                <w:sz w:val="20"/>
              </w:rPr>
              <w:t>Fuzzy / Phonetische Suche auf Basis Oracle Text in Oracle 10g:</w:t>
            </w:r>
          </w:p>
          <w:p>
            <w:pPr>
              <w:spacing w:after="80"/>
              <w:ind w:left="227" w:hanging="170"/>
            </w:pPr>
            <w:r>
              <w:rPr>
                <w:rFonts w:ascii="Arial" w:hAnsi="Arial"/>
                <w:color w:val="163258"/>
                <w:sz w:val="24"/>
              </w:rPr>
              <w:t xml:space="preserve">• </w:t>
            </w:r>
            <w:r>
              <w:rPr>
                <w:rFonts w:ascii="Arial" w:hAnsi="Arial"/>
                <w:b w:val="0"/>
                <w:i w:val="0"/>
                <w:color w:val="163258"/>
                <w:sz w:val="20"/>
              </w:rPr>
              <w:t>Konzeption der Suchstrategien, Konfiguration der einzelnen Datastores,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04/06 - 07/06</w:t>
            </w:r>
            <w:r>
              <w:rPr>
                <w:sz w:val="22"/>
              </w:rPr>
              <w:tab/>
            </w:r>
            <w:r>
              <w:rPr>
                <w:rFonts w:ascii="Arial" w:hAnsi="Arial"/>
                <w:b/>
                <w:color w:val="163258"/>
                <w:sz w:val="26"/>
              </w:rPr>
              <w:t>Bank / Financial Industry</w:t>
            </w:r>
          </w:p>
          <w:p>
            <w:pPr>
              <w:spacing w:after="160"/>
            </w:pPr>
            <w:r>
              <w:rPr>
                <w:rFonts w:ascii="Arial" w:hAnsi="Arial"/>
                <w:b/>
                <w:i w:val="0"/>
                <w:color w:val="163258"/>
                <w:sz w:val="22"/>
              </w:rPr>
              <w:t>Project Management Coaching, Migrationsberatung,</w:t>
            </w:r>
          </w:p>
          <w:p>
            <w:pPr>
              <w:spacing w:after="80"/>
              <w:ind w:left="227" w:hanging="170"/>
            </w:pPr>
            <w:r>
              <w:rPr>
                <w:rFonts w:ascii="Arial" w:hAnsi="Arial"/>
                <w:color w:val="163258"/>
                <w:sz w:val="24"/>
              </w:rPr>
              <w:t xml:space="preserve">• </w:t>
            </w:r>
            <w:r>
              <w:rPr>
                <w:rFonts w:ascii="Arial" w:hAnsi="Arial"/>
                <w:b w:val="0"/>
                <w:i w:val="0"/>
                <w:color w:val="163258"/>
                <w:sz w:val="20"/>
              </w:rPr>
              <w:t>Projekt : Architekturberatung und Konfiguration Oracle 10g Datawarehouse und Produktionsüberfuehrung eines globalen DWH Risk Controlling / RiskManagement- und Meldewesen System in einem geordneten</w:t>
            </w:r>
          </w:p>
          <w:p>
            <w:pPr>
              <w:spacing w:after="80"/>
              <w:ind w:left="227" w:hanging="170"/>
            </w:pPr>
            <w:r>
              <w:rPr>
                <w:rFonts w:ascii="Arial" w:hAnsi="Arial"/>
                <w:color w:val="163258"/>
                <w:sz w:val="24"/>
              </w:rPr>
              <w:t xml:space="preserve">• </w:t>
            </w:r>
            <w:r>
              <w:rPr>
                <w:rFonts w:ascii="Arial" w:hAnsi="Arial"/>
                <w:b w:val="0"/>
                <w:i w:val="0"/>
                <w:color w:val="163258"/>
                <w:sz w:val="20"/>
              </w:rPr>
              <w:t>Übernahmeverfahren nach Betriebsstandards während der Übernahmephase.</w:t>
            </w:r>
          </w:p>
          <w:p>
            <w:pPr>
              <w:spacing w:after="80"/>
              <w:ind w:left="227" w:hanging="170"/>
            </w:pPr>
            <w:r>
              <w:rPr>
                <w:rFonts w:ascii="Arial" w:hAnsi="Arial"/>
                <w:color w:val="163258"/>
                <w:sz w:val="24"/>
              </w:rPr>
              <w:t xml:space="preserve">• </w:t>
            </w:r>
            <w:r>
              <w:rPr>
                <w:rFonts w:ascii="Arial" w:hAnsi="Arial"/>
                <w:b w:val="0"/>
                <w:i w:val="0"/>
                <w:color w:val="163258"/>
                <w:sz w:val="20"/>
              </w:rPr>
              <w:t>Spezifikation und Implementation der Maintenance-Prozesse nach</w:t>
            </w:r>
          </w:p>
          <w:p>
            <w:pPr>
              <w:spacing w:after="80"/>
              <w:ind w:left="227" w:hanging="170"/>
            </w:pPr>
            <w:r>
              <w:rPr>
                <w:rFonts w:ascii="Arial" w:hAnsi="Arial"/>
                <w:color w:val="163258"/>
                <w:sz w:val="24"/>
              </w:rPr>
              <w:t xml:space="preserve">• </w:t>
            </w:r>
            <w:r>
              <w:rPr>
                <w:rFonts w:ascii="Arial" w:hAnsi="Arial"/>
                <w:b w:val="0"/>
                <w:i w:val="0"/>
                <w:color w:val="163258"/>
                <w:sz w:val="20"/>
              </w:rPr>
              <w:t>ITSM/ITIL Standard (Incident Management, Problem Management,</w:t>
            </w:r>
          </w:p>
          <w:p>
            <w:pPr>
              <w:spacing w:after="80"/>
              <w:ind w:left="227" w:hanging="170"/>
            </w:pPr>
            <w:r>
              <w:rPr>
                <w:rFonts w:ascii="Arial" w:hAnsi="Arial"/>
                <w:color w:val="163258"/>
                <w:sz w:val="24"/>
              </w:rPr>
              <w:t xml:space="preserve">• </w:t>
            </w:r>
            <w:r>
              <w:rPr>
                <w:rFonts w:ascii="Arial" w:hAnsi="Arial"/>
                <w:b w:val="0"/>
                <w:i w:val="0"/>
                <w:color w:val="163258"/>
                <w:sz w:val="20"/>
              </w:rPr>
              <w:t>Change Management).</w:t>
            </w:r>
          </w:p>
          <w:p>
            <w:pPr>
              <w:spacing w:after="80"/>
              <w:ind w:left="227" w:hanging="170"/>
            </w:pPr>
            <w:r>
              <w:rPr>
                <w:rFonts w:ascii="Arial" w:hAnsi="Arial"/>
                <w:color w:val="163258"/>
                <w:sz w:val="24"/>
              </w:rPr>
              <w:t xml:space="preserve">• </w:t>
            </w:r>
            <w:r>
              <w:rPr>
                <w:rFonts w:ascii="Arial" w:hAnsi="Arial"/>
                <w:b w:val="0"/>
                <w:i w:val="0"/>
                <w:color w:val="163258"/>
                <w:sz w:val="20"/>
              </w:rPr>
              <w:t>Beratende Prozeßbegleitung der Überführung und Integration der Altsysteme vom Outsourcing Partner zurück in den internen Datacenterbetrieb.</w:t>
            </w:r>
          </w:p>
          <w:p>
            <w:pPr>
              <w:spacing w:after="80"/>
              <w:ind w:left="227" w:hanging="170"/>
            </w:pPr>
            <w:r>
              <w:rPr>
                <w:rFonts w:ascii="Arial" w:hAnsi="Arial"/>
                <w:color w:val="163258"/>
                <w:sz w:val="24"/>
              </w:rPr>
              <w:t xml:space="preserve">• </w:t>
            </w:r>
            <w:r>
              <w:rPr>
                <w:rFonts w:ascii="Arial" w:hAnsi="Arial"/>
                <w:b w:val="0"/>
                <w:i w:val="0"/>
                <w:color w:val="163258"/>
                <w:sz w:val="20"/>
              </w:rPr>
              <w:t>Bewertung der Architekturansätze für das Datenbank Partitioning des Oracle 10g basierten Datawarehouse hinsichtlich Flexibiltät und Performance.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07/04 - 05/06</w:t>
            </w:r>
            <w:r>
              <w:rPr>
                <w:sz w:val="22"/>
              </w:rPr>
              <w:tab/>
            </w:r>
            <w:r>
              <w:rPr>
                <w:rFonts w:ascii="Arial" w:hAnsi="Arial"/>
                <w:b/>
                <w:color w:val="163258"/>
                <w:sz w:val="26"/>
              </w:rPr>
              <w:t>Telekommunikation</w:t>
            </w:r>
          </w:p>
          <w:p>
            <w:pPr>
              <w:spacing w:after="160"/>
            </w:pPr>
            <w:r>
              <w:rPr>
                <w:rFonts w:ascii="Arial" w:hAnsi="Arial"/>
                <w:b/>
                <w:i w:val="0"/>
                <w:color w:val="163258"/>
                <w:sz w:val="22"/>
              </w:rPr>
              <w:t>Multi Project Management, Infrastructure Demand (Anford.- manag.)</w:t>
            </w:r>
          </w:p>
          <w:p>
            <w:pPr>
              <w:spacing w:after="80"/>
              <w:ind w:left="227" w:hanging="170"/>
            </w:pPr>
            <w:r>
              <w:rPr>
                <w:rFonts w:ascii="Arial" w:hAnsi="Arial"/>
                <w:color w:val="163258"/>
                <w:sz w:val="24"/>
              </w:rPr>
              <w:t xml:space="preserve">• </w:t>
            </w:r>
            <w:r>
              <w:rPr>
                <w:rFonts w:ascii="Arial" w:hAnsi="Arial"/>
                <w:b w:val="0"/>
                <w:i w:val="0"/>
                <w:color w:val="163258"/>
                <w:sz w:val="20"/>
              </w:rPr>
              <w:t>ITSM/ITIL</w:t>
            </w:r>
          </w:p>
          <w:p>
            <w:pPr>
              <w:spacing w:after="80"/>
              <w:ind w:left="227" w:hanging="170"/>
            </w:pPr>
            <w:r>
              <w:rPr>
                <w:rFonts w:ascii="Arial" w:hAnsi="Arial"/>
                <w:color w:val="163258"/>
                <w:sz w:val="24"/>
              </w:rPr>
              <w:t xml:space="preserve">• </w:t>
            </w:r>
            <w:r>
              <w:rPr>
                <w:rFonts w:ascii="Arial" w:hAnsi="Arial"/>
                <w:b w:val="0"/>
                <w:i w:val="0"/>
                <w:color w:val="163258"/>
                <w:sz w:val="20"/>
              </w:rPr>
              <w:t>Projekt : Demand Management als Single Point of Contact fuer sämtliche ORACLE-Systeme des Konzerns: (1) Aufnahme sämtlicher Projektanforderungen</w:t>
            </w:r>
          </w:p>
          <w:p>
            <w:pPr>
              <w:spacing w:after="80"/>
              <w:ind w:left="227" w:hanging="170"/>
            </w:pPr>
            <w:r>
              <w:rPr>
                <w:rFonts w:ascii="Arial" w:hAnsi="Arial"/>
                <w:color w:val="163258"/>
                <w:sz w:val="24"/>
              </w:rPr>
              <w:t xml:space="preserve">• </w:t>
            </w:r>
            <w:r>
              <w:rPr>
                <w:rFonts w:ascii="Arial" w:hAnsi="Arial"/>
                <w:b w:val="0"/>
                <w:i w:val="0"/>
                <w:color w:val="163258"/>
                <w:sz w:val="20"/>
              </w:rPr>
              <w:t>(2) Business Case Erstellung:</w:t>
            </w:r>
          </w:p>
          <w:p>
            <w:pPr>
              <w:spacing w:after="80"/>
              <w:ind w:left="227" w:hanging="170"/>
            </w:pPr>
            <w:r>
              <w:rPr>
                <w:rFonts w:ascii="Arial" w:hAnsi="Arial"/>
                <w:color w:val="163258"/>
                <w:sz w:val="24"/>
              </w:rPr>
              <w:t xml:space="preserve">• </w:t>
            </w:r>
            <w:r>
              <w:rPr>
                <w:rFonts w:ascii="Arial" w:hAnsi="Arial"/>
                <w:b w:val="0"/>
                <w:i w:val="0"/>
                <w:color w:val="163258"/>
                <w:sz w:val="20"/>
              </w:rPr>
              <w:t>RiskManagement nach COSO und Impact Analyse</w:t>
            </w:r>
          </w:p>
          <w:p>
            <w:pPr>
              <w:spacing w:after="80"/>
              <w:ind w:left="227" w:hanging="170"/>
            </w:pPr>
            <w:r>
              <w:rPr>
                <w:rFonts w:ascii="Arial" w:hAnsi="Arial"/>
                <w:color w:val="163258"/>
                <w:sz w:val="24"/>
              </w:rPr>
              <w:t xml:space="preserve">• </w:t>
            </w:r>
            <w:r>
              <w:rPr>
                <w:rFonts w:ascii="Arial" w:hAnsi="Arial"/>
                <w:b w:val="0"/>
                <w:i w:val="0"/>
                <w:color w:val="163258"/>
                <w:sz w:val="20"/>
              </w:rPr>
              <w:t>Feasibility / Machbarkeitsanalyse auf Data Center Integration</w:t>
            </w:r>
          </w:p>
          <w:p>
            <w:pPr>
              <w:spacing w:after="80"/>
              <w:ind w:left="227" w:hanging="170"/>
            </w:pPr>
            <w:r>
              <w:rPr>
                <w:rFonts w:ascii="Arial" w:hAnsi="Arial"/>
                <w:color w:val="163258"/>
                <w:sz w:val="24"/>
              </w:rPr>
              <w:t xml:space="preserve">• </w:t>
            </w:r>
            <w:r>
              <w:rPr>
                <w:rFonts w:ascii="Arial" w:hAnsi="Arial"/>
                <w:b w:val="0"/>
                <w:i w:val="0"/>
                <w:color w:val="163258"/>
                <w:sz w:val="20"/>
              </w:rPr>
              <w:t>Projektkalkulation nach internationalem IFRS Standard einschl. ROI Errechnung für die GF. Ressourcenbeschaffung und Bereitstellung für kommende</w:t>
            </w:r>
          </w:p>
          <w:p>
            <w:pPr>
              <w:spacing w:after="80"/>
              <w:ind w:left="227" w:hanging="170"/>
            </w:pPr>
            <w:r>
              <w:rPr>
                <w:rFonts w:ascii="Arial" w:hAnsi="Arial"/>
                <w:color w:val="163258"/>
                <w:sz w:val="24"/>
              </w:rPr>
              <w:t xml:space="preserve">• </w:t>
            </w:r>
            <w:r>
              <w:rPr>
                <w:rFonts w:ascii="Arial" w:hAnsi="Arial"/>
                <w:b w:val="0"/>
                <w:i w:val="0"/>
                <w:color w:val="163258"/>
                <w:sz w:val="20"/>
              </w:rPr>
              <w:t>Auftragserteilung</w:t>
            </w:r>
          </w:p>
          <w:p>
            <w:pPr>
              <w:spacing w:after="80"/>
              <w:ind w:left="227" w:hanging="170"/>
            </w:pPr>
            <w:r>
              <w:rPr>
                <w:rFonts w:ascii="Arial" w:hAnsi="Arial"/>
                <w:color w:val="163258"/>
                <w:sz w:val="24"/>
              </w:rPr>
              <w:t xml:space="preserve">• </w:t>
            </w:r>
            <w:r>
              <w:rPr>
                <w:rFonts w:ascii="Arial" w:hAnsi="Arial"/>
                <w:b w:val="0"/>
                <w:i w:val="0"/>
                <w:color w:val="163258"/>
                <w:sz w:val="20"/>
              </w:rPr>
              <w:t>(3) Projektbeauftrgaung durch GF:</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04/05 - 01/06</w:t>
            </w:r>
            <w:r>
              <w:rPr>
                <w:sz w:val="22"/>
              </w:rPr>
              <w:tab/>
            </w:r>
            <w:r>
              <w:rPr>
                <w:rFonts w:ascii="Arial" w:hAnsi="Arial"/>
                <w:b/>
                <w:color w:val="163258"/>
                <w:sz w:val="26"/>
              </w:rPr>
              <w:t>Telekommunikation</w:t>
            </w:r>
          </w:p>
          <w:p>
            <w:pPr>
              <w:spacing w:after="160"/>
            </w:pPr>
            <w:r>
              <w:rPr>
                <w:rFonts w:ascii="Arial" w:hAnsi="Arial"/>
                <w:b/>
                <w:i w:val="0"/>
                <w:color w:val="163258"/>
                <w:sz w:val="22"/>
              </w:rPr>
              <w:t>Project Management ORACLE Reorgansiation</w:t>
            </w:r>
          </w:p>
          <w:p>
            <w:pPr>
              <w:spacing w:after="80"/>
              <w:ind w:left="227" w:hanging="170"/>
            </w:pPr>
            <w:r>
              <w:rPr>
                <w:rFonts w:ascii="Arial" w:hAnsi="Arial"/>
                <w:color w:val="163258"/>
                <w:sz w:val="24"/>
              </w:rPr>
              <w:t xml:space="preserve">• </w:t>
            </w:r>
            <w:r>
              <w:rPr>
                <w:rFonts w:ascii="Arial" w:hAnsi="Arial"/>
                <w:b w:val="0"/>
                <w:i w:val="0"/>
                <w:color w:val="163258"/>
                <w:sz w:val="20"/>
              </w:rPr>
              <w:t>Projekt : Emergency-Management Reorganisation auf Oracle-VLDBs :</w:t>
            </w:r>
          </w:p>
          <w:p>
            <w:pPr>
              <w:spacing w:after="80"/>
              <w:ind w:left="227" w:hanging="170"/>
            </w:pPr>
            <w:r>
              <w:rPr>
                <w:rFonts w:ascii="Arial" w:hAnsi="Arial"/>
                <w:color w:val="163258"/>
                <w:sz w:val="24"/>
              </w:rPr>
              <w:t xml:space="preserve">• </w:t>
            </w:r>
            <w:r>
              <w:rPr>
                <w:rFonts w:ascii="Arial" w:hAnsi="Arial"/>
                <w:b w:val="0"/>
                <w:i w:val="0"/>
                <w:color w:val="163258"/>
                <w:sz w:val="20"/>
              </w:rPr>
              <w:t>Application-Support für (Quest-)LiveReorg-Einsatz auf hochverfügbaren Oracle-Datenbanken für partitionierte Large Tables bis zu 1 Terabyte Tablegroesse im produktiven Billingumfeld (Amdocs).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06/02 - 07/04</w:t>
            </w:r>
            <w:r>
              <w:rPr>
                <w:sz w:val="22"/>
              </w:rPr>
              <w:tab/>
            </w:r>
            <w:r>
              <w:rPr>
                <w:rFonts w:ascii="Arial" w:hAnsi="Arial"/>
                <w:b/>
                <w:color w:val="163258"/>
                <w:sz w:val="26"/>
              </w:rPr>
              <w:t>Telekommunikation</w:t>
            </w:r>
          </w:p>
          <w:p>
            <w:pPr>
              <w:spacing w:after="160"/>
            </w:pPr>
            <w:r>
              <w:rPr>
                <w:rFonts w:ascii="Arial" w:hAnsi="Arial"/>
                <w:b/>
                <w:i w:val="0"/>
                <w:color w:val="163258"/>
                <w:sz w:val="22"/>
              </w:rPr>
              <w:t>ORACLE Consulting und ORACLE Administration</w:t>
            </w:r>
          </w:p>
          <w:p>
            <w:pPr>
              <w:spacing w:after="80"/>
              <w:ind w:left="227" w:hanging="170"/>
            </w:pPr>
            <w:r>
              <w:rPr>
                <w:rFonts w:ascii="Arial" w:hAnsi="Arial"/>
                <w:color w:val="163258"/>
                <w:sz w:val="24"/>
              </w:rPr>
              <w:t xml:space="preserve">• </w:t>
            </w:r>
            <w:r>
              <w:rPr>
                <w:rFonts w:ascii="Arial" w:hAnsi="Arial"/>
                <w:b w:val="0"/>
                <w:i w:val="0"/>
                <w:color w:val="163258"/>
                <w:sz w:val="20"/>
              </w:rPr>
              <w:t>Projekt : ORACLE Application Server 10g, Oracle HTML DB und Oracle Portal</w:t>
            </w:r>
          </w:p>
          <w:p>
            <w:pPr>
              <w:spacing w:after="80"/>
              <w:ind w:left="227" w:hanging="170"/>
            </w:pPr>
            <w:r>
              <w:rPr>
                <w:rFonts w:ascii="Arial" w:hAnsi="Arial"/>
                <w:color w:val="163258"/>
                <w:sz w:val="24"/>
              </w:rPr>
              <w:t xml:space="preserve">• </w:t>
            </w:r>
            <w:r>
              <w:rPr>
                <w:rFonts w:ascii="Arial" w:hAnsi="Arial"/>
                <w:b w:val="0"/>
                <w:i w:val="0"/>
                <w:color w:val="163258"/>
                <w:sz w:val="20"/>
              </w:rPr>
              <w:t>Implementation, Troubleshooting</w:t>
            </w:r>
          </w:p>
          <w:p>
            <w:pPr>
              <w:spacing w:after="80"/>
              <w:ind w:left="227" w:hanging="170"/>
            </w:pPr>
            <w:r>
              <w:rPr>
                <w:rFonts w:ascii="Arial" w:hAnsi="Arial"/>
                <w:color w:val="163258"/>
                <w:sz w:val="24"/>
              </w:rPr>
              <w:t xml:space="preserve">• </w:t>
            </w:r>
            <w:r>
              <w:rPr>
                <w:rFonts w:ascii="Arial" w:hAnsi="Arial"/>
                <w:b w:val="0"/>
                <w:i w:val="0"/>
                <w:color w:val="163258"/>
                <w:sz w:val="20"/>
              </w:rPr>
              <w:t>Infrastrukturintegration des Middleware-Zugriffes ORACLE Performance Tuning</w:t>
            </w:r>
          </w:p>
          <w:p>
            <w:pPr>
              <w:spacing w:after="80"/>
              <w:ind w:left="227" w:hanging="170"/>
            </w:pPr>
            <w:r>
              <w:rPr>
                <w:rFonts w:ascii="Arial" w:hAnsi="Arial"/>
                <w:color w:val="163258"/>
                <w:sz w:val="24"/>
              </w:rPr>
              <w:t xml:space="preserve">• </w:t>
            </w:r>
            <w:r>
              <w:rPr>
                <w:rFonts w:ascii="Arial" w:hAnsi="Arial"/>
                <w:b w:val="0"/>
                <w:i w:val="0"/>
                <w:color w:val="163258"/>
                <w:sz w:val="20"/>
              </w:rPr>
              <w:t>ORACLE Parametrisierung und Userzugriffssupport.</w:t>
            </w:r>
          </w:p>
          <w:p>
            <w:pPr>
              <w:spacing w:after="80"/>
              <w:ind w:left="227" w:hanging="170"/>
            </w:pPr>
            <w:r>
              <w:rPr>
                <w:rFonts w:ascii="Arial" w:hAnsi="Arial"/>
                <w:color w:val="163258"/>
                <w:sz w:val="24"/>
              </w:rPr>
              <w:t xml:space="preserve">• </w:t>
            </w:r>
            <w:r>
              <w:rPr>
                <w:rFonts w:ascii="Arial" w:hAnsi="Arial"/>
                <w:b w:val="0"/>
                <w:i w:val="0"/>
                <w:color w:val="163258"/>
                <w:sz w:val="20"/>
              </w:rPr>
              <w:t>Middleware:</w:t>
            </w:r>
          </w:p>
          <w:p>
            <w:pPr>
              <w:spacing w:after="80"/>
              <w:ind w:left="227" w:hanging="170"/>
            </w:pPr>
            <w:r>
              <w:rPr>
                <w:rFonts w:ascii="Arial" w:hAnsi="Arial"/>
                <w:color w:val="163258"/>
                <w:sz w:val="24"/>
              </w:rPr>
              <w:t xml:space="preserve">• </w:t>
            </w:r>
            <w:r>
              <w:rPr>
                <w:rFonts w:ascii="Arial" w:hAnsi="Arial"/>
                <w:b w:val="0"/>
                <w:i w:val="0"/>
                <w:color w:val="163258"/>
                <w:sz w:val="20"/>
              </w:rPr>
              <w:t>Tuxedo Transaktionsmonitoring / PL/SQL-Performance</w:t>
            </w:r>
          </w:p>
          <w:p>
            <w:pPr>
              <w:spacing w:after="80"/>
              <w:ind w:left="227" w:hanging="170"/>
            </w:pPr>
            <w:r>
              <w:rPr>
                <w:rFonts w:ascii="Arial" w:hAnsi="Arial"/>
                <w:color w:val="163258"/>
                <w:sz w:val="24"/>
              </w:rPr>
              <w:t xml:space="preserve">• </w:t>
            </w:r>
            <w:r>
              <w:rPr>
                <w:rFonts w:ascii="Arial" w:hAnsi="Arial"/>
                <w:b w:val="0"/>
                <w:i w:val="0"/>
                <w:color w:val="163258"/>
                <w:sz w:val="20"/>
              </w:rPr>
              <w:t>Monitoring zur Verfolgung von Transaktionslaufzeiten</w:t>
            </w:r>
          </w:p>
          <w:p>
            <w:pPr>
              <w:spacing w:after="80"/>
              <w:ind w:left="227" w:hanging="170"/>
            </w:pPr>
            <w:r>
              <w:rPr>
                <w:rFonts w:ascii="Arial" w:hAnsi="Arial"/>
                <w:color w:val="163258"/>
                <w:sz w:val="24"/>
              </w:rPr>
              <w:t xml:space="preserve">• </w:t>
            </w:r>
            <w:r>
              <w:rPr>
                <w:rFonts w:ascii="Arial" w:hAnsi="Arial"/>
                <w:b w:val="0"/>
                <w:i w:val="0"/>
                <w:color w:val="163258"/>
                <w:sz w:val="20"/>
              </w:rPr>
              <w:t>(D2Activate) für verteilte ORACLE-Transaktionen und Anbindung an zentrale Monitoring-Tools (HP OpenView / ITO).</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01/02 - 04/02</w:t>
            </w:r>
            <w:r>
              <w:rPr>
                <w:sz w:val="22"/>
              </w:rPr>
              <w:tab/>
            </w:r>
            <w:r>
              <w:rPr>
                <w:rFonts w:ascii="Arial" w:hAnsi="Arial"/>
                <w:b/>
                <w:color w:val="163258"/>
                <w:sz w:val="26"/>
              </w:rPr>
              <w:t>Behörde</w:t>
            </w:r>
          </w:p>
          <w:p>
            <w:pPr>
              <w:spacing w:after="160"/>
            </w:pPr>
            <w:r>
              <w:rPr>
                <w:rFonts w:ascii="Arial" w:hAnsi="Arial"/>
                <w:b/>
                <w:i w:val="0"/>
                <w:color w:val="163258"/>
                <w:sz w:val="22"/>
              </w:rPr>
              <w:t>Project Management Coaching</w:t>
            </w:r>
          </w:p>
          <w:p>
            <w:pPr>
              <w:spacing w:after="80"/>
              <w:ind w:left="227" w:hanging="170"/>
            </w:pPr>
            <w:r>
              <w:rPr>
                <w:rFonts w:ascii="Arial" w:hAnsi="Arial"/>
                <w:color w:val="163258"/>
                <w:sz w:val="24"/>
              </w:rPr>
              <w:t xml:space="preserve">• </w:t>
            </w:r>
            <w:r>
              <w:rPr>
                <w:rFonts w:ascii="Arial" w:hAnsi="Arial"/>
                <w:b w:val="0"/>
                <w:i w:val="0"/>
                <w:color w:val="163258"/>
                <w:sz w:val="20"/>
              </w:rPr>
              <w:t>Projekt : Datacenter Konsolidierung, Prozeßberatung zu Hochverfügbarkeit</w:t>
            </w:r>
          </w:p>
          <w:p>
            <w:pPr>
              <w:spacing w:after="80"/>
              <w:ind w:left="227" w:hanging="170"/>
            </w:pPr>
            <w:r>
              <w:rPr>
                <w:rFonts w:ascii="Arial" w:hAnsi="Arial"/>
                <w:color w:val="163258"/>
                <w:sz w:val="24"/>
              </w:rPr>
              <w:t xml:space="preserve">• </w:t>
            </w:r>
            <w:r>
              <w:rPr>
                <w:rFonts w:ascii="Arial" w:hAnsi="Arial"/>
                <w:b w:val="0"/>
                <w:i w:val="0"/>
                <w:color w:val="163258"/>
                <w:sz w:val="20"/>
              </w:rPr>
              <w:t>ORACLE 8i OPS-Einführung und Administration.</w:t>
            </w:r>
          </w:p>
          <w:p>
            <w:pPr>
              <w:spacing w:after="80"/>
              <w:ind w:left="227" w:hanging="170"/>
            </w:pPr>
            <w:r>
              <w:rPr>
                <w:rFonts w:ascii="Arial" w:hAnsi="Arial"/>
                <w:color w:val="163258"/>
                <w:sz w:val="24"/>
              </w:rPr>
              <w:t xml:space="preserve">• </w:t>
            </w:r>
            <w:r>
              <w:rPr>
                <w:rFonts w:ascii="Arial" w:hAnsi="Arial"/>
                <w:b w:val="0"/>
                <w:i w:val="0"/>
                <w:color w:val="163258"/>
                <w:sz w:val="20"/>
              </w:rPr>
              <w:t>Beratung zur Neuorganisation der organisatorischen Abläufe eines Hochverfügbarkeits-Datacenters auf Basis eines verteilten Microsoft-Compaq- Clusters unter Einsatz von ORACLE Parallel Server 8.1.7 auf W2K- und LINUX</w:t>
            </w:r>
          </w:p>
          <w:p>
            <w:pPr>
              <w:spacing w:after="80"/>
              <w:ind w:left="227" w:hanging="170"/>
            </w:pPr>
            <w:r>
              <w:rPr>
                <w:rFonts w:ascii="Arial" w:hAnsi="Arial"/>
                <w:color w:val="163258"/>
                <w:sz w:val="24"/>
              </w:rPr>
              <w:t xml:space="preserve">• </w:t>
            </w:r>
            <w:r>
              <w:rPr>
                <w:rFonts w:ascii="Arial" w:hAnsi="Arial"/>
                <w:b w:val="0"/>
                <w:i w:val="0"/>
                <w:color w:val="163258"/>
                <w:sz w:val="20"/>
              </w:rPr>
              <w:t>Konzeptionelle Ablauf- und Prozeßspezifikation des gesamten Datacenter</w:t>
            </w:r>
          </w:p>
          <w:p>
            <w:pPr>
              <w:spacing w:after="80"/>
              <w:ind w:left="227" w:hanging="170"/>
            </w:pPr>
            <w:r>
              <w:rPr>
                <w:rFonts w:ascii="Arial" w:hAnsi="Arial"/>
                <w:color w:val="163258"/>
                <w:sz w:val="24"/>
              </w:rPr>
              <w:t xml:space="preserve">• </w:t>
            </w:r>
            <w:r>
              <w:rPr>
                <w:rFonts w:ascii="Arial" w:hAnsi="Arial"/>
                <w:b w:val="0"/>
                <w:i w:val="0"/>
                <w:color w:val="163258"/>
                <w:sz w:val="20"/>
              </w:rPr>
              <w:t>Betriebes</w:t>
            </w:r>
          </w:p>
          <w:p>
            <w:pPr>
              <w:spacing w:after="80"/>
              <w:ind w:left="227" w:hanging="170"/>
            </w:pPr>
            <w:r>
              <w:rPr>
                <w:rFonts w:ascii="Arial" w:hAnsi="Arial"/>
                <w:color w:val="163258"/>
                <w:sz w:val="24"/>
              </w:rPr>
              <w:t xml:space="preserve">• </w:t>
            </w:r>
            <w:r>
              <w:rPr>
                <w:rFonts w:ascii="Arial" w:hAnsi="Arial"/>
                <w:b w:val="0"/>
                <w:i w:val="0"/>
                <w:color w:val="163258"/>
                <w:sz w:val="20"/>
              </w:rPr>
              <w:t>Entwicklung eines Rechenzentrums-Betriebskonzeptes</w:t>
            </w:r>
          </w:p>
          <w:p>
            <w:pPr>
              <w:spacing w:after="80"/>
              <w:ind w:left="227" w:hanging="170"/>
            </w:pPr>
            <w:r>
              <w:rPr>
                <w:rFonts w:ascii="Arial" w:hAnsi="Arial"/>
                <w:color w:val="163258"/>
                <w:sz w:val="24"/>
              </w:rPr>
              <w:t xml:space="preserve">• </w:t>
            </w:r>
            <w:r>
              <w:rPr>
                <w:rFonts w:ascii="Arial" w:hAnsi="Arial"/>
                <w:b w:val="0"/>
                <w:i w:val="0"/>
                <w:color w:val="163258"/>
                <w:sz w:val="20"/>
              </w:rPr>
              <w:t>Entwicklung eines qualitätsmanagement-orientierten Backup / Recovery-Verfahrenskonzeptes (Legato) bzgl. Configuration Management und Change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01/01 - 12/01</w:t>
            </w:r>
            <w:r>
              <w:rPr>
                <w:sz w:val="22"/>
              </w:rPr>
              <w:tab/>
            </w:r>
            <w:r>
              <w:rPr>
                <w:rFonts w:ascii="Arial" w:hAnsi="Arial"/>
                <w:b/>
                <w:color w:val="163258"/>
                <w:sz w:val="26"/>
              </w:rPr>
              <w:t>Versicherung</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ORACLE Batchperformance-Tuning und ORACLE Administration Oracle 8i und Buffercache-Tuning und I/O-Optimierung des Batchbetriebes als Oracle-DBA in einer 3-Tier-Architektur unter HP-UX 11.0(64Bit).</w:t>
            </w:r>
          </w:p>
          <w:p>
            <w:pPr>
              <w:spacing w:after="80"/>
              <w:ind w:left="227" w:hanging="170"/>
            </w:pPr>
            <w:r>
              <w:rPr>
                <w:rFonts w:ascii="Arial" w:hAnsi="Arial"/>
                <w:color w:val="163258"/>
                <w:sz w:val="24"/>
              </w:rPr>
              <w:t xml:space="preserve">• </w:t>
            </w:r>
            <w:r>
              <w:rPr>
                <w:rFonts w:ascii="Arial" w:hAnsi="Arial"/>
                <w:b w:val="0"/>
                <w:i w:val="0"/>
                <w:color w:val="163258"/>
                <w:sz w:val="20"/>
              </w:rPr>
              <w:t>Indexanalyse und Reindexierung des ORACLE-VWS-Systems und der EURO-Umstellungsdatenbanken. Begleitung der EURO-Währungsumstellung des Konzerns in der ORACLE- Administration und Systemintegration unter ORACLE 8.1.7 und 9.0.1.</w:t>
            </w:r>
          </w:p>
          <w:p>
            <w:pPr>
              <w:spacing w:after="80"/>
              <w:ind w:left="227" w:hanging="170"/>
            </w:pPr>
            <w:r>
              <w:rPr>
                <w:rFonts w:ascii="Arial" w:hAnsi="Arial"/>
                <w:color w:val="163258"/>
                <w:sz w:val="24"/>
              </w:rPr>
              <w:t xml:space="preserve">• </w:t>
            </w:r>
            <w:r>
              <w:rPr>
                <w:rFonts w:ascii="Arial" w:hAnsi="Arial"/>
                <w:b w:val="0"/>
                <w:i w:val="0"/>
                <w:color w:val="163258"/>
                <w:sz w:val="20"/>
              </w:rPr>
              <w:t>ORACLE Backup- und Recovery-Reorganisation und RMAN-Verfahrensintegration für zentralisiertes ORACLE-Backup und Recovery unter HP-OMNIBACK II(3.5).</w:t>
            </w:r>
          </w:p>
          <w:p>
            <w:pPr>
              <w:spacing w:after="80"/>
              <w:ind w:left="227" w:hanging="170"/>
            </w:pPr>
            <w:r>
              <w:rPr>
                <w:rFonts w:ascii="Arial" w:hAnsi="Arial"/>
                <w:color w:val="163258"/>
                <w:sz w:val="24"/>
              </w:rPr>
              <w:t xml:space="preserve">• </w:t>
            </w:r>
            <w:r>
              <w:rPr>
                <w:rFonts w:ascii="Arial" w:hAnsi="Arial"/>
                <w:b w:val="0"/>
                <w:i w:val="0"/>
                <w:color w:val="163258"/>
                <w:sz w:val="20"/>
              </w:rPr>
              <w:t>RMAN-Backup-Tuning auf HP Omniback über asynchrone I/O-Mechanismen.</w:t>
            </w:r>
          </w:p>
          <w:p>
            <w:pPr>
              <w:spacing w:after="80"/>
              <w:ind w:left="227" w:hanging="170"/>
            </w:pPr>
            <w:r>
              <w:rPr>
                <w:rFonts w:ascii="Arial" w:hAnsi="Arial"/>
                <w:color w:val="163258"/>
                <w:sz w:val="24"/>
              </w:rPr>
              <w:t xml:space="preserve">• </w:t>
            </w:r>
            <w:r>
              <w:rPr>
                <w:rFonts w:ascii="Arial" w:hAnsi="Arial"/>
                <w:b w:val="0"/>
                <w:i w:val="0"/>
                <w:color w:val="163258"/>
                <w:sz w:val="20"/>
              </w:rPr>
              <w:t>ORACLE Recovery von Produktionscrashs.</w:t>
            </w:r>
          </w:p>
          <w:p>
            <w:pPr>
              <w:spacing w:after="80"/>
              <w:ind w:left="227" w:hanging="170"/>
            </w:pPr>
            <w:r>
              <w:rPr>
                <w:rFonts w:ascii="Arial" w:hAnsi="Arial"/>
                <w:color w:val="163258"/>
                <w:sz w:val="24"/>
              </w:rPr>
              <w:t xml:space="preserve">• </w:t>
            </w:r>
            <w:r>
              <w:rPr>
                <w:rFonts w:ascii="Arial" w:hAnsi="Arial"/>
                <w:b w:val="0"/>
                <w:i w:val="0"/>
                <w:color w:val="163258"/>
                <w:sz w:val="20"/>
              </w:rPr>
              <w:t>ORACLE Training fuer Datacenter-Mitarbeiter im Desaster-Recovery von ORACLE-Umgebungen.</w:t>
            </w:r>
          </w:p>
          <w:p>
            <w:pPr>
              <w:spacing w:after="80"/>
              <w:ind w:left="227" w:hanging="170"/>
            </w:pPr>
            <w:r>
              <w:rPr>
                <w:rFonts w:ascii="Arial" w:hAnsi="Arial"/>
                <w:color w:val="163258"/>
                <w:sz w:val="24"/>
              </w:rPr>
              <w:t xml:space="preserve">• </w:t>
            </w:r>
            <w:r>
              <w:rPr>
                <w:rFonts w:ascii="Arial" w:hAnsi="Arial"/>
                <w:b w:val="0"/>
                <w:i w:val="0"/>
                <w:color w:val="163258"/>
                <w:sz w:val="20"/>
              </w:rPr>
              <w:t>Oracle Transaktionsmanagement / Entwickler-Support :</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12/99 - 12/00</w:t>
            </w:r>
            <w:r>
              <w:rPr>
                <w:sz w:val="22"/>
              </w:rPr>
              <w:tab/>
            </w:r>
            <w:r>
              <w:rPr>
                <w:rFonts w:ascii="Arial" w:hAnsi="Arial"/>
                <w:b/>
                <w:color w:val="163258"/>
                <w:sz w:val="26"/>
              </w:rPr>
              <w:t>Logistik</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ORACLE DBA, verteilte ORACLE-Systeme und OPS-Oracle-Cluster</w:t>
            </w:r>
          </w:p>
          <w:p>
            <w:pPr>
              <w:spacing w:after="80"/>
              <w:ind w:left="227" w:hanging="170"/>
            </w:pPr>
            <w:r>
              <w:rPr>
                <w:rFonts w:ascii="Arial" w:hAnsi="Arial"/>
                <w:color w:val="163258"/>
                <w:sz w:val="24"/>
              </w:rPr>
              <w:t xml:space="preserve">• </w:t>
            </w:r>
            <w:r>
              <w:rPr>
                <w:rFonts w:ascii="Arial" w:hAnsi="Arial"/>
                <w:b w:val="0"/>
                <w:i w:val="0"/>
                <w:color w:val="163258"/>
                <w:sz w:val="20"/>
              </w:rPr>
              <w:t>ORACLE-Tuning,</w:t>
            </w:r>
          </w:p>
          <w:p>
            <w:pPr>
              <w:spacing w:after="80"/>
              <w:ind w:left="227" w:hanging="170"/>
            </w:pPr>
            <w:r>
              <w:rPr>
                <w:rFonts w:ascii="Arial" w:hAnsi="Arial"/>
                <w:color w:val="163258"/>
                <w:sz w:val="24"/>
              </w:rPr>
              <w:t xml:space="preserve">• </w:t>
            </w:r>
            <w:r>
              <w:rPr>
                <w:rFonts w:ascii="Arial" w:hAnsi="Arial"/>
                <w:b w:val="0"/>
                <w:i w:val="0"/>
                <w:color w:val="163258"/>
                <w:sz w:val="20"/>
              </w:rPr>
              <w:t>Job- und Transaktionsfehlermanagement einer deutschlandweit verteilten</w:t>
            </w:r>
          </w:p>
          <w:p>
            <w:pPr>
              <w:spacing w:after="80"/>
              <w:ind w:left="227" w:hanging="170"/>
            </w:pPr>
            <w:r>
              <w:rPr>
                <w:rFonts w:ascii="Arial" w:hAnsi="Arial"/>
                <w:color w:val="163258"/>
                <w:sz w:val="24"/>
              </w:rPr>
              <w:t xml:space="preserve">• </w:t>
            </w:r>
            <w:r>
              <w:rPr>
                <w:rFonts w:ascii="Arial" w:hAnsi="Arial"/>
                <w:b w:val="0"/>
                <w:i w:val="0"/>
                <w:color w:val="163258"/>
                <w:sz w:val="20"/>
              </w:rPr>
              <w:t>ORACLE 7-Multimaster-Replikationsumgebung (130 DB's unter SINIX und NT) unter Einsatz von HP-ITO / BMC Patrol;</w:t>
            </w:r>
          </w:p>
          <w:p>
            <w:pPr>
              <w:spacing w:after="80"/>
              <w:ind w:left="227" w:hanging="170"/>
            </w:pPr>
            <w:r>
              <w:rPr>
                <w:rFonts w:ascii="Arial" w:hAnsi="Arial"/>
                <w:color w:val="163258"/>
                <w:sz w:val="24"/>
              </w:rPr>
              <w:t xml:space="preserve">• </w:t>
            </w:r>
            <w:r>
              <w:rPr>
                <w:rFonts w:ascii="Arial" w:hAnsi="Arial"/>
                <w:b w:val="0"/>
                <w:i w:val="0"/>
                <w:color w:val="163258"/>
                <w:sz w:val="20"/>
              </w:rPr>
              <w:t>Remote-Desaster Recovery via Legato Networker;</w:t>
            </w:r>
          </w:p>
          <w:p>
            <w:pPr>
              <w:spacing w:after="80"/>
              <w:ind w:left="227" w:hanging="170"/>
            </w:pPr>
            <w:r>
              <w:rPr>
                <w:rFonts w:ascii="Arial" w:hAnsi="Arial"/>
                <w:color w:val="163258"/>
                <w:sz w:val="24"/>
              </w:rPr>
              <w:t xml:space="preserve">• </w:t>
            </w:r>
            <w:r>
              <w:rPr>
                <w:rFonts w:ascii="Arial" w:hAnsi="Arial"/>
                <w:b w:val="0"/>
                <w:i w:val="0"/>
                <w:color w:val="163258"/>
                <w:sz w:val="20"/>
              </w:rPr>
              <w:t>OPS-Administration eines ORACLE-Tracking/Tracing-Clusters(6 Nodes) unter</w:t>
            </w:r>
          </w:p>
          <w:p>
            <w:pPr>
              <w:spacing w:after="80"/>
              <w:ind w:left="227" w:hanging="170"/>
            </w:pPr>
            <w:r>
              <w:rPr>
                <w:rFonts w:ascii="Arial" w:hAnsi="Arial"/>
                <w:color w:val="163258"/>
                <w:sz w:val="24"/>
              </w:rPr>
              <w:t xml:space="preserve">• </w:t>
            </w:r>
            <w:r>
              <w:rPr>
                <w:rFonts w:ascii="Arial" w:hAnsi="Arial"/>
                <w:b w:val="0"/>
                <w:i w:val="0"/>
                <w:color w:val="163258"/>
                <w:sz w:val="20"/>
              </w:rPr>
              <w:t>NCR-UNIX,</w:t>
            </w:r>
          </w:p>
          <w:p>
            <w:pPr>
              <w:spacing w:after="80"/>
              <w:ind w:left="227" w:hanging="170"/>
            </w:pPr>
            <w:r>
              <w:rPr>
                <w:rFonts w:ascii="Arial" w:hAnsi="Arial"/>
                <w:color w:val="163258"/>
                <w:sz w:val="24"/>
              </w:rPr>
              <w:t xml:space="preserve">• </w:t>
            </w:r>
            <w:r>
              <w:rPr>
                <w:rFonts w:ascii="Arial" w:hAnsi="Arial"/>
                <w:b w:val="0"/>
                <w:i w:val="0"/>
                <w:color w:val="163258"/>
                <w:sz w:val="20"/>
              </w:rPr>
              <w:t>OPS Crash- und Dumpanalyse (ORA 600 Debugging);</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04/99 - 12/99</w:t>
            </w:r>
            <w:r>
              <w:rPr>
                <w:sz w:val="22"/>
              </w:rPr>
              <w:tab/>
            </w:r>
            <w:r>
              <w:rPr>
                <w:rFonts w:ascii="Arial" w:hAnsi="Arial"/>
                <w:b/>
                <w:color w:val="163258"/>
                <w:sz w:val="26"/>
              </w:rPr>
              <w:t>Bank</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Administration/Support zum Aufbau einer Oracle-Replikationsumgebung zum Bundesaufsichtsamt für das Kreditwesen (BaKred) für das nach KWG entwickelte DataMart-Meldesystem (Meldewesen Risikobewertung) der Bankenaufsicht zur Risiko-Quantilanalyse.</w:t>
            </w:r>
          </w:p>
          <w:p>
            <w:pPr>
              <w:spacing w:after="80"/>
              <w:ind w:left="227" w:hanging="170"/>
            </w:pPr>
            <w:r>
              <w:rPr>
                <w:rFonts w:ascii="Arial" w:hAnsi="Arial"/>
                <w:color w:val="163258"/>
                <w:sz w:val="24"/>
              </w:rPr>
              <w:t xml:space="preserve">• </w:t>
            </w:r>
            <w:r>
              <w:rPr>
                <w:rFonts w:ascii="Arial" w:hAnsi="Arial"/>
                <w:b w:val="0"/>
                <w:i w:val="0"/>
                <w:color w:val="163258"/>
                <w:sz w:val="20"/>
              </w:rPr>
              <w:t>ORACLE-Tuning,</w:t>
            </w:r>
          </w:p>
          <w:p>
            <w:pPr>
              <w:spacing w:after="80"/>
              <w:ind w:left="227" w:hanging="170"/>
            </w:pPr>
            <w:r>
              <w:rPr>
                <w:rFonts w:ascii="Arial" w:hAnsi="Arial"/>
                <w:color w:val="163258"/>
                <w:sz w:val="24"/>
              </w:rPr>
              <w:t xml:space="preserve">• </w:t>
            </w:r>
            <w:r>
              <w:rPr>
                <w:rFonts w:ascii="Arial" w:hAnsi="Arial"/>
                <w:b w:val="0"/>
                <w:i w:val="0"/>
                <w:color w:val="163258"/>
                <w:sz w:val="20"/>
              </w:rPr>
              <w:t>ORACLE-Administrator,</w:t>
            </w:r>
          </w:p>
          <w:p>
            <w:pPr>
              <w:spacing w:after="80"/>
              <w:ind w:left="227" w:hanging="170"/>
            </w:pPr>
            <w:r>
              <w:rPr>
                <w:rFonts w:ascii="Arial" w:hAnsi="Arial"/>
                <w:color w:val="163258"/>
                <w:sz w:val="24"/>
              </w:rPr>
              <w:t xml:space="preserve">• </w:t>
            </w:r>
            <w:r>
              <w:rPr>
                <w:rFonts w:ascii="Arial" w:hAnsi="Arial"/>
                <w:b w:val="0"/>
                <w:i w:val="0"/>
                <w:color w:val="163258"/>
                <w:sz w:val="20"/>
              </w:rPr>
              <w:t>Applikationsbetreuung Bietungssystem Tenderverfahren der Wertpapierpensionsgeschäfte. Aufsetzen eines integrierten Backup- und Recoveryverfahrens auf Basis des ADSM Connect Agent (TIVOLI Storage Management) / RMAN in Anbindung dezentraler NT Systeme an OS/390 Mainframe.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04/98 - 04/99</w:t>
            </w:r>
            <w:r>
              <w:rPr>
                <w:sz w:val="22"/>
              </w:rPr>
              <w:tab/>
            </w:r>
            <w:r>
              <w:rPr>
                <w:rFonts w:ascii="Arial" w:hAnsi="Arial"/>
                <w:b/>
                <w:color w:val="163258"/>
                <w:sz w:val="26"/>
              </w:rPr>
              <w:t>Bundesbehörde</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ORACLE- Administration zu OLAP-Datawarehousing,</w:t>
            </w:r>
          </w:p>
          <w:p>
            <w:pPr>
              <w:spacing w:after="80"/>
              <w:ind w:left="227" w:hanging="170"/>
            </w:pPr>
            <w:r>
              <w:rPr>
                <w:rFonts w:ascii="Arial" w:hAnsi="Arial"/>
                <w:color w:val="163258"/>
                <w:sz w:val="24"/>
              </w:rPr>
              <w:t xml:space="preserve">• </w:t>
            </w:r>
            <w:r>
              <w:rPr>
                <w:rFonts w:ascii="Arial" w:hAnsi="Arial"/>
                <w:b w:val="0"/>
                <w:i w:val="0"/>
                <w:color w:val="163258"/>
                <w:sz w:val="20"/>
              </w:rPr>
              <w:t>High Availability und High Performance in ORACLE-Systemen, insbes.</w:t>
            </w:r>
          </w:p>
          <w:p>
            <w:pPr>
              <w:spacing w:after="80"/>
              <w:ind w:left="227" w:hanging="170"/>
            </w:pPr>
            <w:r>
              <w:rPr>
                <w:rFonts w:ascii="Arial" w:hAnsi="Arial"/>
                <w:color w:val="163258"/>
                <w:sz w:val="24"/>
              </w:rPr>
              <w:t xml:space="preserve">• </w:t>
            </w:r>
            <w:r>
              <w:rPr>
                <w:rFonts w:ascii="Arial" w:hAnsi="Arial"/>
                <w:b w:val="0"/>
                <w:i w:val="0"/>
                <w:color w:val="163258"/>
                <w:sz w:val="20"/>
              </w:rPr>
              <w:t>ORACLE Parallel Server in Clustersystemen;</w:t>
            </w:r>
          </w:p>
          <w:p>
            <w:pPr>
              <w:spacing w:after="80"/>
              <w:ind w:left="227" w:hanging="170"/>
            </w:pPr>
            <w:r>
              <w:rPr>
                <w:rFonts w:ascii="Arial" w:hAnsi="Arial"/>
                <w:color w:val="163258"/>
                <w:sz w:val="24"/>
              </w:rPr>
              <w:t xml:space="preserve">• </w:t>
            </w:r>
            <w:r>
              <w:rPr>
                <w:rFonts w:ascii="Arial" w:hAnsi="Arial"/>
                <w:b w:val="0"/>
                <w:i w:val="0"/>
                <w:color w:val="163258"/>
                <w:sz w:val="20"/>
              </w:rPr>
              <w:t>DEC-UNIX 4.00, R.7.3.4 unter Solaris 2.6 und R.8.0.5 unter NT;</w:t>
            </w:r>
          </w:p>
          <w:p>
            <w:pPr>
              <w:spacing w:after="80"/>
              <w:ind w:left="227" w:hanging="170"/>
            </w:pPr>
            <w:r>
              <w:rPr>
                <w:rFonts w:ascii="Arial" w:hAnsi="Arial"/>
                <w:color w:val="163258"/>
                <w:sz w:val="24"/>
              </w:rPr>
              <w:t xml:space="preserve">• </w:t>
            </w:r>
            <w:r>
              <w:rPr>
                <w:rFonts w:ascii="Arial" w:hAnsi="Arial"/>
                <w:b w:val="0"/>
                <w:i w:val="0"/>
                <w:color w:val="163258"/>
                <w:sz w:val="20"/>
              </w:rPr>
              <w:t>Anbindung CORBA Middleware M3 (insbes. TUXEDO);</w:t>
            </w:r>
          </w:p>
          <w:p>
            <w:pPr>
              <w:spacing w:after="80"/>
              <w:ind w:left="227" w:hanging="170"/>
            </w:pPr>
            <w:r>
              <w:rPr>
                <w:rFonts w:ascii="Arial" w:hAnsi="Arial"/>
                <w:color w:val="163258"/>
                <w:sz w:val="24"/>
              </w:rPr>
              <w:t xml:space="preserve">• </w:t>
            </w:r>
            <w:r>
              <w:rPr>
                <w:rFonts w:ascii="Arial" w:hAnsi="Arial"/>
                <w:b w:val="0"/>
                <w:i w:val="0"/>
                <w:color w:val="163258"/>
                <w:sz w:val="20"/>
              </w:rPr>
              <w:t>ORACLE-Tuning von VLDB"s im Terabytebereich (Parametrisierung/PLSQL);</w:t>
            </w:r>
          </w:p>
          <w:p>
            <w:pPr>
              <w:spacing w:after="80"/>
              <w:ind w:left="227" w:hanging="170"/>
            </w:pPr>
            <w:r>
              <w:rPr>
                <w:rFonts w:ascii="Arial" w:hAnsi="Arial"/>
                <w:color w:val="163258"/>
                <w:sz w:val="24"/>
              </w:rPr>
              <w:t xml:space="preserve">• </w:t>
            </w:r>
            <w:r>
              <w:rPr>
                <w:rFonts w:ascii="Arial" w:hAnsi="Arial"/>
                <w:b w:val="0"/>
                <w:i w:val="0"/>
                <w:color w:val="163258"/>
                <w:sz w:val="20"/>
              </w:rPr>
              <w:t>Consulting zum Einsatz von ORACLE Express Server und ORACLE Discoverer;</w:t>
            </w:r>
          </w:p>
          <w:p>
            <w:pPr>
              <w:spacing w:after="80"/>
              <w:ind w:left="227" w:hanging="170"/>
            </w:pPr>
            <w:r>
              <w:rPr>
                <w:rFonts w:ascii="Arial" w:hAnsi="Arial"/>
                <w:color w:val="163258"/>
                <w:sz w:val="24"/>
              </w:rPr>
              <w:t xml:space="preserve">• </w:t>
            </w:r>
            <w:r>
              <w:rPr>
                <w:rFonts w:ascii="Arial" w:hAnsi="Arial"/>
                <w:b w:val="0"/>
                <w:i w:val="0"/>
                <w:color w:val="163258"/>
                <w:sz w:val="20"/>
              </w:rPr>
              <w:t>Development-Support fuer 40 Entwickler in 6 parallelen Entwicklungslinien unter Solaris 2.5 und Oracle 8.0.5 unter SUN Enterprise 450 bzgl.</w:t>
            </w:r>
          </w:p>
          <w:p>
            <w:pPr>
              <w:spacing w:before="180" w:after="0"/>
              <w:ind w:left="113"/>
              <w:pBdr>
                <w:left w:val="single" w:sz="24" w:space="8" w:color="163258"/>
              </w:pBdr>
            </w:pPr>
            <w:r>
              <w:rPr>
                <w:rFonts w:ascii="Arial" w:hAnsi="Arial"/>
                <w:b/>
                <w:i w:val="0"/>
                <w:color w:val="163258"/>
                <w:sz w:val="20"/>
              </w:rPr>
              <w:t xml:space="preserve">Technologien: </w:t>
            </w:r>
            <w:r>
              <w:rPr>
                <w:rFonts w:ascii="Arial" w:hAnsi="Arial"/>
                <w:b w:val="0"/>
                <w:i w:val="0"/>
                <w:color w:val="163258"/>
                <w:sz w:val="20"/>
              </w:rPr>
              <w:t>unter, ORACLE 8i Release 8.0.5 64 bit unter HP-UX 11.00, R.8.0.4</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09/97 - 02/98</w:t>
            </w:r>
            <w:r>
              <w:rPr>
                <w:sz w:val="22"/>
              </w:rPr>
              <w:tab/>
            </w:r>
            <w:r>
              <w:rPr>
                <w:rFonts w:ascii="Arial" w:hAnsi="Arial"/>
                <w:b/>
                <w:color w:val="163258"/>
                <w:sz w:val="26"/>
              </w:rPr>
              <w:t>Kommunalbehörde</w:t>
            </w:r>
          </w:p>
          <w:p>
            <w:pPr>
              <w:spacing w:after="160"/>
            </w:pPr>
            <w:r>
              <w:rPr>
                <w:rFonts w:ascii="Arial" w:hAnsi="Arial"/>
                <w:b/>
                <w:i w:val="0"/>
                <w:color w:val="163258"/>
                <w:sz w:val="22"/>
              </w:rPr>
              <w:t>Project Management</w:t>
            </w:r>
          </w:p>
          <w:p>
            <w:pPr>
              <w:spacing w:after="80"/>
              <w:ind w:left="227" w:hanging="170"/>
            </w:pPr>
            <w:r>
              <w:rPr>
                <w:rFonts w:ascii="Arial" w:hAnsi="Arial"/>
                <w:color w:val="163258"/>
                <w:sz w:val="24"/>
              </w:rPr>
              <w:t xml:space="preserve">• </w:t>
            </w:r>
            <w:r>
              <w:rPr>
                <w:rFonts w:ascii="Arial" w:hAnsi="Arial"/>
                <w:b w:val="0"/>
                <w:i w:val="0"/>
                <w:color w:val="163258"/>
                <w:sz w:val="20"/>
              </w:rPr>
              <w:t>Projekt : Integration eines Doppik-Rechnungssystems und einer Kosten- und Leistungsrechnung in ein bestehendes Haushaltkostenrechnungsverfahren im Rahmen eines Pilotprojektes des Freistaates Sachsen unter Vorgabe einer ORACLE-Umgebung.</w:t>
            </w:r>
          </w:p>
          <w:p>
            <w:pPr>
              <w:spacing w:after="80"/>
              <w:ind w:left="227" w:hanging="170"/>
            </w:pPr>
            <w:r>
              <w:rPr>
                <w:rFonts w:ascii="Arial" w:hAnsi="Arial"/>
                <w:color w:val="163258"/>
                <w:sz w:val="24"/>
              </w:rPr>
              <w:t xml:space="preserve">• </w:t>
            </w:r>
            <w:r>
              <w:rPr>
                <w:rFonts w:ascii="Arial" w:hAnsi="Arial"/>
                <w:b w:val="0"/>
                <w:i w:val="0"/>
                <w:color w:val="163258"/>
                <w:sz w:val="20"/>
              </w:rPr>
              <w:t>Analyse der Rahmenbedingungen, Voruntersuchung und Anforderungsbeschreibung zu Einfuehrung der doppelten Buchführung in der öffentlichen Haushaltkostenrechnung und Aufstellung der Ressourcen-, Zeit- und Aktivitätenpläne.</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04/97 - 07/97</w:t>
            </w:r>
            <w:r>
              <w:rPr>
                <w:sz w:val="22"/>
              </w:rPr>
              <w:tab/>
            </w:r>
            <w:r>
              <w:rPr>
                <w:rFonts w:ascii="Arial" w:hAnsi="Arial"/>
                <w:b/>
                <w:color w:val="163258"/>
                <w:sz w:val="26"/>
              </w:rPr>
              <w:t>Mineralölindustrie</w:t>
            </w:r>
          </w:p>
          <w:p>
            <w:pPr>
              <w:spacing w:after="160"/>
            </w:pPr>
            <w:r>
              <w:rPr>
                <w:rFonts w:ascii="Arial" w:hAnsi="Arial"/>
                <w:b/>
                <w:i w:val="0"/>
                <w:color w:val="163258"/>
                <w:sz w:val="22"/>
              </w:rPr>
              <w:t>Project Management Outsourcing</w:t>
            </w:r>
          </w:p>
          <w:p>
            <w:pPr>
              <w:spacing w:after="80"/>
              <w:ind w:left="227" w:hanging="170"/>
            </w:pPr>
            <w:r>
              <w:rPr>
                <w:rFonts w:ascii="Arial" w:hAnsi="Arial"/>
                <w:color w:val="163258"/>
                <w:sz w:val="24"/>
              </w:rPr>
              <w:t xml:space="preserve">• </w:t>
            </w:r>
            <w:r>
              <w:rPr>
                <w:rFonts w:ascii="Arial" w:hAnsi="Arial"/>
                <w:b w:val="0"/>
                <w:i w:val="0"/>
                <w:color w:val="163258"/>
                <w:sz w:val="20"/>
              </w:rPr>
              <w:t>Projekt : Erstellung eines Outsourcingangebotes zu Applications Management für SAP/R3, ORACLE-, Security- und Call Center</w:t>
            </w:r>
          </w:p>
          <w:p>
            <w:pPr>
              <w:spacing w:after="80"/>
              <w:ind w:left="227" w:hanging="170"/>
            </w:pPr>
            <w:r>
              <w:rPr>
                <w:rFonts w:ascii="Arial" w:hAnsi="Arial"/>
                <w:color w:val="163258"/>
                <w:sz w:val="24"/>
              </w:rPr>
              <w:t xml:space="preserve">• </w:t>
            </w:r>
            <w:r>
              <w:rPr>
                <w:rFonts w:ascii="Arial" w:hAnsi="Arial"/>
                <w:b w:val="0"/>
                <w:i w:val="0"/>
                <w:color w:val="163258"/>
                <w:sz w:val="20"/>
              </w:rPr>
              <w:t>Applications unter HP-UX11.00 und NT für einen Erdölraffineriebetrieb. Contract-Evaluierung für Subcontractors auf Basis einer Vollkostenkalkulation mit Ressourcenplanung und GuV-Vorschau für die ersten fünf Jahre einer neu zu gründenden Betreibergesellschaft.</w:t>
            </w:r>
          </w:p>
          <w:p>
            <w:pPr>
              <w:spacing w:after="80"/>
              <w:ind w:left="227" w:hanging="170"/>
            </w:pPr>
            <w:r>
              <w:rPr>
                <w:rFonts w:ascii="Arial" w:hAnsi="Arial"/>
                <w:color w:val="163258"/>
                <w:sz w:val="24"/>
              </w:rPr>
              <w:t xml:space="preserve">• </w:t>
            </w:r>
            <w:r>
              <w:rPr>
                <w:rFonts w:ascii="Arial" w:hAnsi="Arial"/>
                <w:b w:val="0"/>
                <w:i w:val="0"/>
                <w:color w:val="163258"/>
                <w:sz w:val="20"/>
              </w:rPr>
              <w:t>Koordinierung eines internationalen Angebotsteams.</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03/97 - 06/97</w:t>
            </w:r>
            <w:r>
              <w:rPr>
                <w:sz w:val="22"/>
              </w:rPr>
              <w:tab/>
            </w:r>
            <w:r>
              <w:rPr>
                <w:rFonts w:ascii="Arial" w:hAnsi="Arial"/>
                <w:b/>
                <w:color w:val="163258"/>
                <w:sz w:val="26"/>
              </w:rPr>
              <w:t>Bank/Finanzdienstleister</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ORACLE 7.3 -Reorganisation, ORACLE 7.3 -Administration und ORACLE Performance-Tuning strukturelle ORACLE-Reorganisation</w:t>
            </w:r>
          </w:p>
          <w:p>
            <w:pPr>
              <w:spacing w:after="80"/>
              <w:ind w:left="227" w:hanging="170"/>
            </w:pPr>
            <w:r>
              <w:rPr>
                <w:rFonts w:ascii="Arial" w:hAnsi="Arial"/>
                <w:color w:val="163258"/>
                <w:sz w:val="24"/>
              </w:rPr>
              <w:t xml:space="preserve">• </w:t>
            </w:r>
            <w:r>
              <w:rPr>
                <w:rFonts w:ascii="Arial" w:hAnsi="Arial"/>
                <w:b w:val="0"/>
                <w:i w:val="0"/>
                <w:color w:val="163258"/>
                <w:sz w:val="20"/>
              </w:rPr>
              <w:t>(Parametrisierung, Reindexierung und physisch/logische Neuverteilung,</w:t>
            </w:r>
          </w:p>
          <w:p>
            <w:pPr>
              <w:spacing w:after="80"/>
              <w:ind w:left="227" w:hanging="170"/>
            </w:pPr>
            <w:r>
              <w:rPr>
                <w:rFonts w:ascii="Arial" w:hAnsi="Arial"/>
                <w:color w:val="163258"/>
                <w:sz w:val="24"/>
              </w:rPr>
              <w:t xml:space="preserve">• </w:t>
            </w:r>
            <w:r>
              <w:rPr>
                <w:rFonts w:ascii="Arial" w:hAnsi="Arial"/>
                <w:b w:val="0"/>
                <w:i w:val="0"/>
                <w:color w:val="163258"/>
                <w:sz w:val="20"/>
              </w:rPr>
              <w:t>ORACLE SQL Abfragen-Tuning) eines bundesweit verteilten Kiosk-Infosystems zur Videodatenverarbeitung auf Basis Oracle 7.3.3.</w:t>
            </w:r>
          </w:p>
        </w:tc>
      </w:tr>
    </w:tbl>
    <w:p>
      <w:pPr>
        <w:spacing w:after="120"/>
      </w:pPr>
    </w:p>
    <w:tbl>
      <w:tblPr>
        <w:tblW w:type="auto" w:w="0"/>
        <w:jc w:val="left"/>
        <w:tblLook w:firstColumn="1" w:firstRow="1" w:lastColumn="0" w:lastRow="0" w:noHBand="0" w:noVBand="1" w:val="04A0"/>
        <w:tblW w:w="9865" w:type="dxa"/>
      </w:tblPr>
      <w:tblGrid>
        <w:gridCol w:w="9866"/>
      </w:tblGrid>
      <w:tr>
        <w:trPr>
          <w:cantSplit w:val="1"/>
        </w:trPr>
        <w:tc>
          <w:tcPr>
            <w:tcW w:type="dxa" w:w="9866"/>
            <w:shd w:val="clear" w:color="auto" w:fill="f9fafb"/>
            <w:tcBorders>
              <w:top w:val="single" w:sz="8" w:space="0" w:color="e5e7eb"/>
              <w:left w:val="single" w:sz="8" w:space="0" w:color="e5e7eb"/>
              <w:bottom w:val="single" w:sz="8" w:space="0" w:color="e5e7eb"/>
              <w:right w:val="single" w:sz="8" w:space="0" w:color="e5e7eb"/>
            </w:tcBorders>
            <w:tcMar>
              <w:top w:w="260" w:type="dxa"/>
              <w:bottom w:w="260" w:type="dxa"/>
              <w:left w:w="260" w:type="dxa"/>
              <w:right w:w="260" w:type="dxa"/>
            </w:tcMar>
          </w:tcPr>
          <w:p>
            <w:pPr>
              <w:spacing w:after="160"/>
              <w:tabs>
                <w:tab w:val="right" w:pos="9100"/>
              </w:tabs>
            </w:pPr>
            <w:r>
              <w:rPr>
                <w:rFonts w:ascii="Arial" w:hAnsi="Arial"/>
                <w:b/>
                <w:color w:val="FFFFFF"/>
                <w:sz w:val="22"/>
                <w:shd w:val="clear" w:color="auto" w:fill="163258"/>
              </w:rPr>
              <w:t>12/95 - 01/97</w:t>
            </w:r>
            <w:r>
              <w:rPr>
                <w:sz w:val="22"/>
              </w:rPr>
              <w:tab/>
            </w:r>
            <w:r>
              <w:rPr>
                <w:rFonts w:ascii="Arial" w:hAnsi="Arial"/>
                <w:b/>
                <w:color w:val="163258"/>
                <w:sz w:val="26"/>
              </w:rPr>
              <w:t>Kommunalbehoerde</w:t>
            </w:r>
          </w:p>
          <w:p>
            <w:pPr>
              <w:spacing w:after="160"/>
            </w:pPr>
            <w:r>
              <w:rPr>
                <w:rFonts w:ascii="Arial" w:hAnsi="Arial"/>
                <w:b/>
                <w:i w:val="0"/>
                <w:color w:val="163258"/>
                <w:sz w:val="22"/>
              </w:rPr>
              <w:t>ORACLE Consulting</w:t>
            </w:r>
          </w:p>
          <w:p>
            <w:pPr>
              <w:spacing w:after="80"/>
              <w:ind w:left="227" w:hanging="170"/>
            </w:pPr>
            <w:r>
              <w:rPr>
                <w:rFonts w:ascii="Arial" w:hAnsi="Arial"/>
                <w:color w:val="163258"/>
                <w:sz w:val="24"/>
              </w:rPr>
              <w:t xml:space="preserve">• </w:t>
            </w:r>
            <w:r>
              <w:rPr>
                <w:rFonts w:ascii="Arial" w:hAnsi="Arial"/>
                <w:b w:val="0"/>
                <w:i w:val="0"/>
                <w:color w:val="163258"/>
                <w:sz w:val="20"/>
              </w:rPr>
              <w:t>Projekt : Neueinfuehrung eines kameralistischen Haushaltkostenrechnungssystems auf Basis ORACLE 7.2 / 7.3.1´</w:t>
            </w:r>
          </w:p>
          <w:p>
            <w:pPr>
              <w:spacing w:after="80"/>
              <w:ind w:left="227" w:hanging="170"/>
            </w:pPr>
            <w:r>
              <w:rPr>
                <w:rFonts w:ascii="Arial" w:hAnsi="Arial"/>
                <w:color w:val="163258"/>
                <w:sz w:val="24"/>
              </w:rPr>
              <w:t xml:space="preserve">• </w:t>
            </w:r>
            <w:r>
              <w:rPr>
                <w:rFonts w:ascii="Arial" w:hAnsi="Arial"/>
                <w:b w:val="0"/>
                <w:i w:val="0"/>
                <w:color w:val="163258"/>
                <w:sz w:val="20"/>
              </w:rPr>
              <w:t>DEC/VAX-Clusterumgebung unter DEC UNIX und OpenVMS.</w:t>
            </w:r>
          </w:p>
          <w:p>
            <w:pPr>
              <w:spacing w:after="80"/>
              <w:ind w:left="227" w:hanging="170"/>
            </w:pPr>
            <w:r>
              <w:rPr>
                <w:rFonts w:ascii="Arial" w:hAnsi="Arial"/>
                <w:color w:val="163258"/>
                <w:sz w:val="24"/>
              </w:rPr>
              <w:t xml:space="preserve">• </w:t>
            </w:r>
            <w:r>
              <w:rPr>
                <w:rFonts w:ascii="Arial" w:hAnsi="Arial"/>
                <w:b w:val="0"/>
                <w:i w:val="0"/>
                <w:color w:val="163258"/>
                <w:sz w:val="20"/>
              </w:rPr>
              <w:t>Beschreibung von Datenuebernahmeschnittstellen aus bestehendem</w:t>
            </w:r>
          </w:p>
          <w:p>
            <w:pPr>
              <w:spacing w:after="80"/>
              <w:ind w:left="227" w:hanging="170"/>
            </w:pPr>
            <w:r>
              <w:rPr>
                <w:rFonts w:ascii="Arial" w:hAnsi="Arial"/>
                <w:color w:val="163258"/>
                <w:sz w:val="24"/>
              </w:rPr>
              <w:t xml:space="preserve">• </w:t>
            </w:r>
            <w:r>
              <w:rPr>
                <w:rFonts w:ascii="Arial" w:hAnsi="Arial"/>
                <w:b w:val="0"/>
                <w:i w:val="0"/>
                <w:color w:val="163258"/>
                <w:sz w:val="20"/>
              </w:rPr>
              <w:t>System</w:t>
            </w:r>
          </w:p>
          <w:p>
            <w:pPr>
              <w:spacing w:after="80"/>
              <w:ind w:left="227" w:hanging="170"/>
            </w:pPr>
            <w:r>
              <w:rPr>
                <w:rFonts w:ascii="Arial" w:hAnsi="Arial"/>
                <w:color w:val="163258"/>
                <w:sz w:val="24"/>
              </w:rPr>
              <w:t xml:space="preserve">• </w:t>
            </w:r>
            <w:r>
              <w:rPr>
                <w:rFonts w:ascii="Arial" w:hAnsi="Arial"/>
                <w:b w:val="0"/>
                <w:i w:val="0"/>
                <w:color w:val="163258"/>
                <w:sz w:val="20"/>
              </w:rPr>
              <w:t>(DEC/VAX)</w:t>
            </w:r>
          </w:p>
          <w:p>
            <w:pPr>
              <w:spacing w:after="80"/>
              <w:ind w:left="227" w:hanging="170"/>
            </w:pPr>
            <w:r>
              <w:rPr>
                <w:rFonts w:ascii="Arial" w:hAnsi="Arial"/>
                <w:color w:val="163258"/>
                <w:sz w:val="24"/>
              </w:rPr>
              <w:t xml:space="preserve">• </w:t>
            </w:r>
            <w:r>
              <w:rPr>
                <w:rFonts w:ascii="Arial" w:hAnsi="Arial"/>
                <w:b w:val="0"/>
                <w:i w:val="0"/>
                <w:color w:val="163258"/>
                <w:sz w:val="20"/>
              </w:rPr>
              <w:t>Einrichtung und Konfiguration der Testumgebung mit ORACLE</w:t>
            </w:r>
          </w:p>
          <w:p>
            <w:pPr>
              <w:spacing w:after="80"/>
              <w:ind w:left="227" w:hanging="170"/>
            </w:pPr>
            <w:r>
              <w:rPr>
                <w:rFonts w:ascii="Arial" w:hAnsi="Arial"/>
                <w:color w:val="163258"/>
                <w:sz w:val="24"/>
              </w:rPr>
              <w:t xml:space="preserve">• </w:t>
            </w:r>
            <w:r>
              <w:rPr>
                <w:rFonts w:ascii="Arial" w:hAnsi="Arial"/>
                <w:b w:val="0"/>
                <w:i w:val="0"/>
                <w:color w:val="163258"/>
                <w:sz w:val="20"/>
              </w:rPr>
              <w:t>Discoverer.</w:t>
            </w:r>
          </w:p>
          <w:p>
            <w:pPr>
              <w:spacing w:after="80"/>
              <w:ind w:left="227" w:hanging="170"/>
            </w:pPr>
            <w:r>
              <w:rPr>
                <w:rFonts w:ascii="Arial" w:hAnsi="Arial"/>
                <w:color w:val="163258"/>
                <w:sz w:val="24"/>
              </w:rPr>
              <w:t xml:space="preserve">• </w:t>
            </w:r>
            <w:r>
              <w:rPr>
                <w:rFonts w:ascii="Arial" w:hAnsi="Arial"/>
                <w:b w:val="0"/>
                <w:i w:val="0"/>
                <w:color w:val="163258"/>
                <w:sz w:val="20"/>
              </w:rPr>
              <w:t>Sonstiges</w:t>
            </w:r>
          </w:p>
          <w:p>
            <w:pPr>
              <w:spacing w:after="80"/>
              <w:ind w:left="227" w:hanging="170"/>
            </w:pPr>
            <w:r>
              <w:rPr>
                <w:rFonts w:ascii="Arial" w:hAnsi="Arial"/>
                <w:color w:val="163258"/>
                <w:sz w:val="24"/>
              </w:rPr>
              <w:t xml:space="preserve">• </w:t>
            </w:r>
            <w:r>
              <w:rPr>
                <w:rFonts w:ascii="Arial" w:hAnsi="Arial"/>
                <w:b w:val="0"/>
                <w:i w:val="0"/>
                <w:color w:val="163258"/>
                <w:sz w:val="20"/>
              </w:rPr>
              <w:t>Sonstige Anmerkungen:</w:t>
            </w:r>
          </w:p>
          <w:p>
            <w:pPr>
              <w:spacing w:after="80"/>
              <w:ind w:left="227" w:hanging="170"/>
            </w:pPr>
            <w:r>
              <w:rPr>
                <w:rFonts w:ascii="Arial" w:hAnsi="Arial"/>
                <w:color w:val="163258"/>
                <w:sz w:val="24"/>
              </w:rPr>
              <w:t xml:space="preserve">• </w:t>
            </w:r>
            <w:r>
              <w:rPr>
                <w:rFonts w:ascii="Arial" w:hAnsi="Arial"/>
                <w:b w:val="0"/>
                <w:i w:val="0"/>
                <w:color w:val="163258"/>
                <w:sz w:val="20"/>
              </w:rPr>
              <w:t>Mitgliedschaften gern auf Anfrage</w:t>
            </w:r>
          </w:p>
          <w:p>
            <w:pPr>
              <w:spacing w:after="80"/>
              <w:ind w:left="227" w:hanging="170"/>
            </w:pPr>
            <w:r>
              <w:rPr>
                <w:rFonts w:ascii="Arial" w:hAnsi="Arial"/>
                <w:color w:val="163258"/>
                <w:sz w:val="24"/>
              </w:rPr>
              <w:t xml:space="preserve">• </w:t>
            </w:r>
            <w:r>
              <w:rPr>
                <w:rFonts w:ascii="Arial" w:hAnsi="Arial"/>
                <w:b w:val="0"/>
                <w:i w:val="0"/>
                <w:color w:val="163258"/>
                <w:sz w:val="20"/>
              </w:rPr>
              <w:t>Referenzen gern auf Anfrage</w:t>
            </w:r>
          </w:p>
          <w:p>
            <w:pPr>
              <w:spacing w:after="80"/>
              <w:ind w:left="227" w:hanging="170"/>
            </w:pPr>
            <w:r>
              <w:rPr>
                <w:rFonts w:ascii="Arial" w:hAnsi="Arial"/>
                <w:color w:val="163258"/>
                <w:sz w:val="24"/>
              </w:rPr>
              <w:t xml:space="preserve">• </w:t>
            </w:r>
            <w:r>
              <w:rPr>
                <w:rFonts w:ascii="Arial" w:hAnsi="Arial"/>
                <w:b w:val="0"/>
                <w:i w:val="0"/>
                <w:color w:val="163258"/>
                <w:sz w:val="20"/>
              </w:rPr>
              <w:t>Seite_drucken [Seite_drucken] Zum_Seitenanfang [Zum_Seitenanfang] Englisch anzeigen</w:t>
            </w:r>
          </w:p>
        </w:tc>
      </w:tr>
    </w:tbl>
    <w:p>
      <w:pPr>
        <w:spacing w:after="120"/>
      </w:pPr>
      <w:r>
        <w:br w:type="page"/>
      </w:r>
    </w:p>
    <w:p>
      <w:pPr>
        <w:spacing w:before="0" w:after="240"/>
        <w:pBdr>
          <w:bottom w:val="single" w:sz="16" w:space="4" w:color="163258"/>
        </w:pBdr>
      </w:pPr>
      <w:r>
        <w:rPr>
          <w:rFonts w:ascii="Arial" w:hAnsi="Arial"/>
          <w:b/>
          <w:i w:val="0"/>
          <w:color w:val="163258"/>
          <w:sz w:val="26"/>
        </w:rPr>
        <w:t>Technische Kenntnisse</w:t>
      </w:r>
    </w:p>
    <w:p>
      <w:pPr>
        <w:spacing w:before="160" w:after="80"/>
        <w:pBdr>
          <w:bottom w:val="dashed" w:sz="8" w:space="4" w:color="d1d5db"/>
        </w:pBdr>
      </w:pPr>
      <w:r>
        <w:rPr>
          <w:rFonts w:ascii="Arial" w:hAnsi="Arial"/>
          <w:b/>
          <w:i w:val="0"/>
          <w:color w:val="163258"/>
          <w:sz w:val="20"/>
        </w:rPr>
        <w:t>Methoden</w:t>
      </w:r>
    </w:p>
    <w:p>
      <w:pPr>
        <w:spacing w:after="240" w:line="360" w:lineRule="exact"/>
        <w:ind w:left="200"/>
        <w:pBdr>
          <w:left w:val="single" w:sz="16" w:space="8" w:color="d1d5db"/>
        </w:pBdr>
      </w:pPr>
      <w:r>
        <w:rPr>
          <w:rFonts w:ascii="Arial" w:hAnsi="Arial"/>
          <w:b w:val="0"/>
          <w:i w:val="0"/>
          <w:color w:val="163258"/>
          <w:sz w:val="20"/>
        </w:rPr>
        <w:t>ISO 27001</w:t>
      </w:r>
    </w:p>
    <w:p>
      <w:pPr>
        <w:spacing w:before="160" w:after="80"/>
        <w:pBdr>
          <w:bottom w:val="dashed" w:sz="8" w:space="4" w:color="d1d5db"/>
        </w:pBdr>
      </w:pPr>
      <w:r>
        <w:rPr>
          <w:rFonts w:ascii="Arial" w:hAnsi="Arial"/>
          <w:b/>
          <w:i w:val="0"/>
          <w:color w:val="163258"/>
          <w:sz w:val="20"/>
        </w:rPr>
        <w:t>Programmiersprachen</w:t>
      </w:r>
    </w:p>
    <w:p>
      <w:pPr>
        <w:spacing w:after="240" w:line="360" w:lineRule="exact"/>
        <w:ind w:left="200"/>
        <w:pBdr>
          <w:left w:val="single" w:sz="16" w:space="8" w:color="d1d5db"/>
        </w:pBdr>
      </w:pPr>
      <w:r>
        <w:rPr>
          <w:rFonts w:ascii="Arial" w:hAnsi="Arial"/>
          <w:b w:val="0"/>
          <w:i w:val="0"/>
          <w:color w:val="163258"/>
          <w:sz w:val="20"/>
        </w:rPr>
        <w:t>PL/SQL | Oracle insbesondere zu RAC in Clustersystemen | unter</w:t>
      </w:r>
    </w:p>
    <w:p>
      <w:pPr>
        <w:spacing w:before="160" w:after="80"/>
        <w:pBdr>
          <w:bottom w:val="dashed" w:sz="8" w:space="4" w:color="d1d5db"/>
        </w:pBdr>
      </w:pPr>
      <w:r>
        <w:rPr>
          <w:rFonts w:ascii="Arial" w:hAnsi="Arial"/>
          <w:b/>
          <w:i w:val="0"/>
          <w:color w:val="163258"/>
          <w:sz w:val="20"/>
        </w:rPr>
        <w:t>Datenbanken</w:t>
      </w:r>
    </w:p>
    <w:p>
      <w:pPr>
        <w:spacing w:after="240" w:line="360" w:lineRule="exact"/>
        <w:ind w:left="200"/>
        <w:pBdr>
          <w:left w:val="single" w:sz="16" w:space="8" w:color="d1d5db"/>
        </w:pBdr>
      </w:pPr>
      <w:r>
        <w:rPr>
          <w:rFonts w:ascii="Arial" w:hAnsi="Arial"/>
          <w:b w:val="0"/>
          <w:i w:val="0"/>
          <w:color w:val="163258"/>
          <w:sz w:val="20"/>
        </w:rPr>
        <w:t>Oracle</w:t>
      </w:r>
    </w:p>
    <w:p>
      <w:pPr>
        <w:spacing w:before="160" w:after="80"/>
        <w:pBdr>
          <w:bottom w:val="dashed" w:sz="8" w:space="4" w:color="d1d5db"/>
        </w:pBdr>
      </w:pPr>
      <w:r>
        <w:rPr>
          <w:rFonts w:ascii="Arial" w:hAnsi="Arial"/>
          <w:b/>
          <w:i w:val="0"/>
          <w:color w:val="163258"/>
          <w:sz w:val="20"/>
        </w:rPr>
        <w:t>Sonstige Skills</w:t>
      </w:r>
    </w:p>
    <w:p>
      <w:pPr>
        <w:spacing w:after="240" w:line="360" w:lineRule="exact"/>
        <w:ind w:left="200"/>
        <w:pBdr>
          <w:left w:val="single" w:sz="16" w:space="8" w:color="d1d5db"/>
        </w:pBdr>
      </w:pPr>
      <w:r>
        <w:rPr>
          <w:rFonts w:ascii="Arial" w:hAnsi="Arial"/>
          <w:b w:val="0"/>
          <w:i w:val="0"/>
          <w:color w:val="163258"/>
          <w:sz w:val="20"/>
        </w:rPr>
        <w:t>Solvency II | Cognos TM1 | eCM | ENDUR | GWG | ISAE3402 | AD Identity Access | PONTONXP | ORACLE 8i Release 8.0.5 64 bit unter HP-UX 11.00 | R.8.0.4</w:t>
      </w:r>
    </w:p>
    <w:p>
      <w:pPr>
        <w:spacing w:before="160" w:after="80"/>
        <w:pBdr>
          <w:bottom w:val="dashed" w:sz="8" w:space="4" w:color="d1d5db"/>
        </w:pBdr>
      </w:pPr>
      <w:r>
        <w:rPr>
          <w:rFonts w:ascii="Arial" w:hAnsi="Arial"/>
          <w:b/>
          <w:i w:val="0"/>
          <w:color w:val="163258"/>
          <w:sz w:val="20"/>
        </w:rPr>
        <w:t>Cloud-Plattformen</w:t>
      </w:r>
    </w:p>
    <w:p>
      <w:pPr>
        <w:spacing w:after="240" w:line="360" w:lineRule="exact"/>
        <w:ind w:left="200"/>
        <w:pBdr>
          <w:left w:val="single" w:sz="16" w:space="8" w:color="d1d5db"/>
        </w:pBdr>
      </w:pPr>
      <w:r>
        <w:rPr>
          <w:rFonts w:ascii="Arial" w:hAnsi="Arial"/>
          <w:b w:val="0"/>
          <w:i w:val="0"/>
          <w:color w:val="163258"/>
          <w:sz w:val="20"/>
        </w:rPr>
        <w:t>IAM</w:t>
      </w:r>
    </w:p>
    <w:p>
      <w:pPr>
        <w:spacing w:before="160" w:after="80"/>
        <w:pBdr>
          <w:bottom w:val="dashed" w:sz="8" w:space="4" w:color="d1d5db"/>
        </w:pBdr>
      </w:pPr>
      <w:r>
        <w:rPr>
          <w:rFonts w:ascii="Arial" w:hAnsi="Arial"/>
          <w:b/>
          <w:i w:val="0"/>
          <w:color w:val="163258"/>
          <w:sz w:val="20"/>
        </w:rPr>
        <w:t>Security Tools</w:t>
      </w:r>
    </w:p>
    <w:p>
      <w:pPr>
        <w:spacing w:after="240" w:line="360" w:lineRule="exact"/>
        <w:ind w:left="200"/>
        <w:pBdr>
          <w:left w:val="single" w:sz="16" w:space="8" w:color="d1d5db"/>
        </w:pBdr>
      </w:pPr>
      <w:r>
        <w:rPr>
          <w:rFonts w:ascii="Arial" w:hAnsi="Arial"/>
          <w:b w:val="0"/>
          <w:i w:val="0"/>
          <w:color w:val="163258"/>
          <w:sz w:val="20"/>
        </w:rPr>
        <w:t>SOX</w:t>
      </w:r>
    </w:p>
    <w:p>
      <w:pPr>
        <w:spacing w:before="160" w:after="80"/>
        <w:pBdr>
          <w:bottom w:val="dashed" w:sz="8" w:space="4" w:color="d1d5db"/>
        </w:pBdr>
      </w:pPr>
      <w:r>
        <w:rPr>
          <w:rFonts w:ascii="Arial" w:hAnsi="Arial"/>
          <w:b/>
          <w:i w:val="0"/>
          <w:color w:val="163258"/>
          <w:sz w:val="20"/>
        </w:rPr>
        <w:t>Spezielle Konzepte</w:t>
      </w:r>
    </w:p>
    <w:p>
      <w:pPr>
        <w:spacing w:after="240" w:line="360" w:lineRule="exact"/>
        <w:ind w:left="200"/>
        <w:pBdr>
          <w:left w:val="single" w:sz="16" w:space="8" w:color="d1d5db"/>
        </w:pBdr>
      </w:pPr>
      <w:r>
        <w:rPr>
          <w:rFonts w:ascii="Arial" w:hAnsi="Arial"/>
          <w:b w:val="0"/>
          <w:i w:val="0"/>
          <w:color w:val="163258"/>
          <w:sz w:val="20"/>
        </w:rPr>
        <w:t>BAIT | EU-DSGVO | ISMS | BCM | MaRisk | PS 330</w:t>
      </w:r>
    </w:p>
    <w:sectPr w:rsidR="00FC693F" w:rsidRPr="0006063C" w:rsidSect="00034616">
      <w:headerReference w:type="default" r:id="rId9"/>
      <w:pgSz w:w="11906" w:h="16838"/>
      <w:pgMar w:top="971" w:right="1020" w:bottom="850" w:left="1020" w:header="85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360"/>
      <w:tabs>
        <w:tab w:val="center" w:pos="4932"/>
        <w:tab w:val="right" w:pos="9865"/>
      </w:tabs>
      <w:pBdr>
        <w:bottom w:val="single" w:sz="8" w:space="4" w:color="163258"/>
      </w:pBdr>
    </w:pPr>
    <w:r>
      <w:rPr>
        <w:rFonts w:ascii="Arial" w:hAnsi="Arial"/>
        <w:b w:val="0"/>
        <w:i w:val="0"/>
        <w:color w:val="163258"/>
        <w:sz w:val="18"/>
      </w:rPr>
      <w:t>Qualifikationsprofil: AID-as_4.1.3.0</w:t>
    </w:r>
    <w:r>
      <w:rPr>
        <w:rFonts w:ascii="Arial" w:hAnsi="Arial"/>
        <w:b w:val="0"/>
        <w:i w:val="0"/>
        <w:color w:val="163258"/>
        <w:sz w:val="18"/>
      </w:rPr>
      <w:tab/>
      <w:t>www.abcona.de</w:t>
    </w:r>
    <w:r>
      <w:rPr>
        <w:rFonts w:ascii="Arial" w:hAnsi="Arial"/>
        <w:b w:val="0"/>
        <w:i w:val="0"/>
        <w:color w:val="163258"/>
        <w:sz w:val="18"/>
      </w:rPr>
      <w:tab/>
      <w:t xml:space="preserve">Seite </w:t>
    </w:r>
    <w:r>
      <w:rPr>
        <w:color w:val="163258"/>
        <w:sz w:val="18"/>
      </w:rPr>
      <w:fldChar w:fldCharType="begin"/>
      <w:instrText> PAGE </w:instrText>
    </w:r>
    <w:r>
      <w:rPr>
        <w:color w:val="163258"/>
        <w:sz w:val="18"/>
      </w:rPr>
      <w:fldChar w:fldCharType="separate"/>
    </w:r>
    <w:r>
      <w:rPr>
        <w:color w:val="163258"/>
        <w:sz w:val="18"/>
      </w:rPr>
      <w:fldChar w:fldCharType="end"/>
    </w:r>
    <w:r>
      <w:rPr>
        <w:rFonts w:ascii="Arial" w:hAnsi="Arial"/>
        <w:b w:val="0"/>
        <w:i w:val="0"/>
        <w:color w:val="163258"/>
        <w:sz w:val="18"/>
      </w:rPr>
      <w:t xml:space="preserve"> von </w:t>
    </w:r>
    <w:r>
      <w:rPr>
        <w:color w:val="163258"/>
        <w:sz w:val="18"/>
      </w:rPr>
      <w:fldChar w:fldCharType="begin"/>
      <w:instrText> NUMPAGES </w:instrText>
    </w:r>
    <w:r>
      <w:rPr>
        <w:color w:val="163258"/>
        <w:sz w:val="18"/>
      </w:rPr>
      <w:fldChar w:fldCharType="separate"/>
    </w:r>
    <w:r>
      <w:rPr>
        <w:color w:val="163258"/>
        <w:sz w:val="18"/>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