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0.png" ContentType="image/png"/>
  <Override PartName="/word/media/rId38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d41f4c789bc27d6d723320aaea69244fa117a9"/>
      <w:r>
        <w:t xml:space="preserve">RECLin-PT: o pré-treinamento clínico importa para a extração de relações em notas clínicas em português? Um estudo controlado sobre o SemClinBr</w:t>
      </w:r>
      <w:bookmarkEnd w:id="20"/>
    </w:p>
    <w:p>
      <w:pPr>
        <w:pStyle w:val="FirstParagraph"/>
      </w:pPr>
      <w:r>
        <w:rPr>
          <w:b/>
        </w:rPr>
        <w:t xml:space="preserve">Angelo A. L. Silveira Filho¹, Cristiano da Silveira Colombo¹</w:t>
      </w:r>
    </w:p>
    <w:p>
      <w:pPr>
        <w:pStyle w:val="BodyText"/>
      </w:pPr>
      <w:r>
        <w:t xml:space="preserve">¹Bacharelado em Sistemas de Informação — Instituto Federal de Educação, Ciência e Tecnologia do Espírito Santo (IFES) — Cachoeiro de Itapemirim — ES — Brasil</w:t>
      </w:r>
    </w:p>
    <w:p>
      <w:pPr>
        <w:pStyle w:val="BodyText"/>
      </w:pPr>
      <w:r>
        <w:rPr>
          <w:rStyle w:val="VerbatimChar"/>
        </w:rPr>
        <w:t xml:space="preserve">angelo.silveira@aluno.ifes.edu.br</w:t>
      </w:r>
      <w:r>
        <w:t xml:space="preserve">,</w:t>
      </w:r>
      <w:r>
        <w:t xml:space="preserve"> </w:t>
      </w:r>
      <w:r>
        <w:rPr>
          <w:rStyle w:val="VerbatimChar"/>
        </w:rPr>
        <w:t xml:space="preserve">cristiano.colombo@ifes.edu.br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Abstract.</w:t>
      </w:r>
      <w:r>
        <w:t xml:space="preserve"> </w:t>
      </w:r>
      <w:r>
        <w:rPr>
          <w:i/>
        </w:rPr>
        <w:t xml:space="preserve">Clinical free text concentrates information whose interpretation depends on the relation between concepts, particularly the negation of findings. We investigate whether clinical pre-training is decisive for relation extraction (RE) in Brazilian Portuguese over the SemClinBr corpus, in a three-class space (negation, association and no-relation). We fine-tune two Portuguese encoders under an identical pipeline — a clinical-domain one (BioBERTpt) and a general-domain one (BERTimbau) — changing only the pre-trained checkpoint. On the frozen test set, both models are statistically tied on the</w:t>
      </w:r>
      <w:r>
        <w:t xml:space="preserve"> </w:t>
      </w:r>
      <w:r>
        <w:t xml:space="preserve">negation_of</w:t>
      </w:r>
      <w:r>
        <w:t xml:space="preserve"> </w:t>
      </w:r>
      <w:r>
        <w:rPr>
          <w:i/>
        </w:rPr>
        <w:t xml:space="preserve">F1 (0.724 vs. 0.734; McNemar p = 0.18; paired bootstrap 95% CI [−0.047, +0.026]), and the seed-to-seed variation exceeds the gap between them. The general encoder matches the clinical one with ~60% of its parameters, suggesting that, for this task, clinical pre-training is not a decisive factor.</w:t>
      </w:r>
    </w:p>
    <w:p>
      <w:pPr>
        <w:pStyle w:val="BodyText"/>
      </w:pPr>
      <w:r>
        <w:rPr>
          <w:b/>
        </w:rPr>
        <w:t xml:space="preserve">Resumo.</w:t>
      </w:r>
      <w:r>
        <w:t xml:space="preserve"> </w:t>
      </w:r>
      <w:r>
        <w:rPr>
          <w:i/>
        </w:rPr>
        <w:t xml:space="preserve">O texto clínico livre concentra informação cuja interpretação depende da relação entre conceitos, em especial a negação de achados. Este trabalho investiga se o pré-treinamento clínico é determinante para a extração de relações (Relation Extraction, RE) em português brasileiro sobre o corpus SemClinBr, em um espaço de três classes (negação, associação e ausência de relação). Ajustamos dois encoders para o português sob uma mesma cadeia experimental — um de domínio clínico (BioBERTpt) e um de domínio geral (BERTimbau) — variando apenas o checkpoint de pré-treino. No conjunto de teste congelado, os dois modelos empatam estatisticamente no F1 de</w:t>
      </w:r>
      <w:r>
        <w:t xml:space="preserve"> </w:t>
      </w:r>
      <w:r>
        <w:t xml:space="preserve">negation_of</w:t>
      </w:r>
      <w:r>
        <w:t xml:space="preserve"> </w:t>
      </w:r>
      <w:r>
        <w:rPr>
          <w:i/>
        </w:rPr>
        <w:t xml:space="preserve">(0,724 vs. 0,734; McNemar p = 0,18; bootstrap pareado IC95% [−0,047, +0,026]), e a variação entre sementes supera a diferença entre eles. O encoder geral iguala o clínico com ~60% dos parâmetros, sugerindo que, para esta tarefa, o pré-treinamento clínico não é um fator decisivo.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ntrodução"/>
      <w:r>
        <w:t xml:space="preserve">1. Introdução</w:t>
      </w:r>
      <w:bookmarkEnd w:id="21"/>
    </w:p>
    <w:p>
      <w:pPr>
        <w:pStyle w:val="FirstParagraph"/>
      </w:pPr>
      <w:r>
        <w:t xml:space="preserve">O registro eletrônico em saúde concentra grande parte da informação clínica sob a forma de texto livre. Notas de evolução, sumários de alta e laudos são redigidos em linguagem natural, com abreviações idiossincráticas, ausência frequente de pontuação padronizada e construções negativas características do discurso médico. Essa riqueza textual, embora valiosa para pesquisa e apoio à decisão, permanece majoritariamente inacessível a consultas estruturadas, o que motiva o desenvolvimento de técnicas de Processamento de Linguagem Natural (PLN) capazes de transformar texto clínico em conhecimento estruturado.</w:t>
      </w:r>
    </w:p>
    <w:p>
      <w:pPr>
        <w:pStyle w:val="BodyText"/>
      </w:pPr>
      <w:r>
        <w:t xml:space="preserve">O reconhecimento de entidades nomeadas identifica menções a conceitos clínicos (sintomas, doenças, achados, procedimentos), mas isoladamente não captura como esses conceitos se articulam no enunciado. Saber que um documento menciona</w:t>
      </w:r>
      <w:r>
        <w:t xml:space="preserve"> </w:t>
      </w:r>
      <w:r>
        <w:t xml:space="preserve">“</w:t>
      </w:r>
      <w:r>
        <w:t xml:space="preserve">febre</w:t>
      </w:r>
      <w:r>
        <w:t xml:space="preserve">”</w:t>
      </w:r>
      <w:r>
        <w:t xml:space="preserve"> </w:t>
      </w:r>
      <w:r>
        <w:t xml:space="preserve">não é suficiente: é preciso distinguir se a febre está associada ao quadro do paciente ou se está sendo negada (</w:t>
      </w:r>
      <w:r>
        <w:t xml:space="preserve">“</w:t>
      </w:r>
      <w:r>
        <w:t xml:space="preserve">paciente afebril</w:t>
      </w:r>
      <w:r>
        <w:t xml:space="preserve">”</w:t>
      </w:r>
      <w:r>
        <w:t xml:space="preserve">). Esse vínculo é o objeto da extração de relações (</w:t>
      </w:r>
      <w:r>
        <w:rPr>
          <w:i/>
        </w:rPr>
        <w:t xml:space="preserve">Relation Extraction</w:t>
      </w:r>
      <w:r>
        <w:t xml:space="preserve">, RE), modelada aqui como a classificação de um par ordenado de entidades (e₁, e₂) dentro do espaço de rótulos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.</w:t>
      </w:r>
    </w:p>
    <w:p>
      <w:pPr>
        <w:pStyle w:val="BodyText"/>
      </w:pPr>
      <w:r>
        <w:t xml:space="preserve">A negação clínica é um fenômeno linguístico de alto impacto: tratar um achado negado como presente pode inverter completamente a interpretação de um prontuário. Em português, a negação é fortemente lexicalizada (</w:t>
      </w:r>
      <w:r>
        <w:t xml:space="preserve">“</w:t>
      </w:r>
      <w:r>
        <w:t xml:space="preserve">não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nega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ausência de</w:t>
      </w:r>
      <w:r>
        <w:t xml:space="preserve">”</w:t>
      </w:r>
      <w:r>
        <w:t xml:space="preserve">), e há a expectativa difundida de que modelos pré-treinados sobre texto do próprio domínio clínico capturem melhor essas construções do que modelos de domínio geral. Essa expectativa, contudo, é raramente testada de forma controlada para o português: estudos costumam adotar um modelo clínico por hipótese, sem isolar o efeito do pré-treinamento de domínio sob protocolo estatístico rigoroso.</w:t>
      </w:r>
    </w:p>
    <w:p>
      <w:pPr>
        <w:pStyle w:val="BodyText"/>
      </w:pPr>
      <w:r>
        <w:t xml:space="preserve">Este trabalho responde diretamente à seguinte questão de pesquisa:</w:t>
      </w:r>
      <w:r>
        <w:t xml:space="preserve"> </w:t>
      </w:r>
      <w:r>
        <w:rPr>
          <w:b/>
        </w:rPr>
        <w:t xml:space="preserve">o pré-treinamento clínico importa para a extração de relações em textos médicos em português?</w:t>
      </w:r>
      <w:r>
        <w:t xml:space="preserve"> </w:t>
      </w:r>
      <w:r>
        <w:t xml:space="preserve">Para respondê-la, comparamos dois</w:t>
      </w:r>
      <w:r>
        <w:t xml:space="preserve"> </w:t>
      </w:r>
      <w:r>
        <w:rPr>
          <w:i/>
        </w:rPr>
        <w:t xml:space="preserve">encoders</w:t>
      </w:r>
      <w:r>
        <w:t xml:space="preserve"> </w:t>
      </w:r>
      <w:r>
        <w:t xml:space="preserve">para o português na</w:t>
      </w:r>
      <w:r>
        <w:t xml:space="preserve"> </w:t>
      </w:r>
      <w:r>
        <w:rPr>
          <w:i/>
        </w:rPr>
        <w:t xml:space="preserve">mesma</w:t>
      </w:r>
      <w:r>
        <w:t xml:space="preserve"> </w:t>
      </w:r>
      <w:r>
        <w:t xml:space="preserve">tarefa de RE sobre o SemClinBr (OLIVEIRA et al., 2022), mudando</w:t>
      </w:r>
      <w:r>
        <w:t xml:space="preserve"> </w:t>
      </w:r>
      <w:r>
        <w:rPr>
          <w:i/>
        </w:rPr>
        <w:t xml:space="preserve">somente</w:t>
      </w:r>
      <w:r>
        <w:t xml:space="preserve"> </w:t>
      </w:r>
      <w:r>
        <w:t xml:space="preserve">o</w:t>
      </w:r>
      <w:r>
        <w:t xml:space="preserve"> </w:t>
      </w:r>
      <w:r>
        <w:rPr>
          <w:i/>
        </w:rPr>
        <w:t xml:space="preserve">checkpoint</w:t>
      </w:r>
      <w:r>
        <w:t xml:space="preserve"> </w:t>
      </w:r>
      <w:r>
        <w:t xml:space="preserve">de pré-treino: o BioBERTpt (SCHNEIDER et al., 2020), adaptado a narrativas clínicas e biomédicas em português, e o BERTimbau (SOUZA; NOGUEIRA; LOTUFO, 2020), pré-treinado em texto de domínio geral (brWaC). Ambos são ajustados sob uma única cadeia determinística, compartilhando a representação de entrada, a função de perda, o escalonador, a seleção de modelo, as métricas e a semente, de modo que qualquer diferença observada possa ser atribuída ao pré-treinamento, e não a artefatos de implementação.</w:t>
      </w:r>
    </w:p>
    <w:p>
      <w:pPr>
        <w:pStyle w:val="BodyText"/>
      </w:pPr>
      <w:r>
        <w:t xml:space="preserve">As contribuições deste artigo são: (i) um protocolo experimental reprodutível e controlado — do texto bruto às métricas finais — que isola o efeito do pré-treinamento de domínio na RE clínica em português; (ii) uma comparação empírica, com teste de significância pareado, entre um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clínico e um geral sobre o SemClinBr; e (iii) a evidência de que, neste cenário, o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de domínio geral iguala estatisticamente o clínico, inclusive na classe de negação, com cerca de 60% dos parâmetros.</w:t>
      </w:r>
    </w:p>
    <w:p>
      <w:pPr>
        <w:pStyle w:val="Heading2"/>
      </w:pPr>
      <w:bookmarkStart w:id="22" w:name="fundamentação-teórica"/>
      <w:r>
        <w:t xml:space="preserve">2. Fundamentação Teórica</w:t>
      </w:r>
      <w:bookmarkEnd w:id="22"/>
    </w:p>
    <w:p>
      <w:pPr>
        <w:pStyle w:val="Heading3"/>
      </w:pPr>
      <w:bookmarkStart w:id="23" w:name="Xb7369e7ee105309a6f1998c0e8a314dc9196a88"/>
      <w:r>
        <w:t xml:space="preserve">2.1. Processamento de linguagem natural clínico</w:t>
      </w:r>
      <w:bookmarkEnd w:id="23"/>
    </w:p>
    <w:p>
      <w:pPr>
        <w:pStyle w:val="FirstParagraph"/>
      </w:pPr>
      <w:r>
        <w:t xml:space="preserve">O PLN clínico ocupa-se da análise automática de textos produzidos no cuidado em saúde. Esses textos apresentam características que os distinguem da linguagem geral: vocabulário técnico, abreviações não padronizadas, telegrafismo (omissão de elementos gramaticais) e prevalência de construções negativas e de incerteza. Tais propriedades tornam a transferência direta de ferramentas treinadas em domínio aberto pouco eficaz, motivando recursos e modelos específicos do domínio — hipótese cuja validade, para a tarefa de RE em português, é justamente o objeto deste estudo.</w:t>
      </w:r>
    </w:p>
    <w:p>
      <w:pPr>
        <w:pStyle w:val="Heading3"/>
      </w:pPr>
      <w:bookmarkStart w:id="24" w:name="extração-de-relações"/>
      <w:r>
        <w:t xml:space="preserve">2.2. Extração de relações</w:t>
      </w:r>
      <w:bookmarkEnd w:id="24"/>
    </w:p>
    <w:p>
      <w:pPr>
        <w:pStyle w:val="FirstParagraph"/>
      </w:pPr>
      <w:r>
        <w:t xml:space="preserve">A extração de informação em texto clínico costuma ser decomposta em duas tarefas encadeadas. A primeira, o reconhecimento de entidades nomeadas, delimita trechos do texto que mencionam conceitos de interesse e lhes atribui um tipo semântico. A segunda, a RE, determina se um par de entidades mantém uma relação e de que tipo. Formalmente, dado um par ordenado (e₁, e₂) em um documento, a RE é modelada como um problema de classificação que associa ao par um rótulo dentro de um conjunto pré-definido. Neste trabalho o espaço de rótulos é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. O rótulo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 </w:t>
      </w:r>
      <w:r>
        <w:t xml:space="preserve">é fundamental: como a anotação de corpora registra apenas relações positivas, todo par de entidades não anotado deve ser tratado como ausência de relação, o que introduz um forte desbalanceamento de classes.</w:t>
      </w:r>
    </w:p>
    <w:p>
      <w:pPr>
        <w:pStyle w:val="Heading3"/>
      </w:pPr>
      <w:bookmarkStart w:id="25" w:name="a-negação-clínica"/>
      <w:r>
        <w:t xml:space="preserve">2.3. A negação clínica</w:t>
      </w:r>
      <w:bookmarkEnd w:id="25"/>
    </w:p>
    <w:p>
      <w:pPr>
        <w:pStyle w:val="FirstParagraph"/>
      </w:pPr>
      <w:r>
        <w:t xml:space="preserve">Em detecção de negação clínica, o algoritmo NegEx (CHAPMAN et al., 2001) tornou-se referência: a partir de um léxico de gatilhos de negação e de janelas de contexto, classifica achados como negados ou afirmados. Sua eficácia deriva do fato de a negação clínica ser altamente lexicalizada. Em português, gatilhos como</w:t>
      </w:r>
      <w:r>
        <w:t xml:space="preserve"> </w:t>
      </w:r>
      <w:r>
        <w:t xml:space="preserve">“</w:t>
      </w:r>
      <w:r>
        <w:t xml:space="preserve">não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nega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ausência de</w:t>
      </w:r>
      <w:r>
        <w:t xml:space="preserve">”</w:t>
      </w:r>
      <w:r>
        <w:t xml:space="preserve">, além de adjetivos que embutem negação morfologicamente (</w:t>
      </w:r>
      <w:r>
        <w:t xml:space="preserve">“</w:t>
      </w:r>
      <w:r>
        <w:t xml:space="preserve">afebril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anictérico</w:t>
      </w:r>
      <w:r>
        <w:t xml:space="preserve">”</w:t>
      </w:r>
      <w:r>
        <w:t xml:space="preserve">), sustentam estratégias análogas. A alta lexicalização sugere que o sinal de negação possa estar acessível mesmo a modelos não especializados no domínio, o que torna a comparação entre</w:t>
      </w:r>
      <w:r>
        <w:t xml:space="preserve"> </w:t>
      </w:r>
      <w:r>
        <w:rPr>
          <w:i/>
        </w:rPr>
        <w:t xml:space="preserve">encoders</w:t>
      </w:r>
      <w:r>
        <w:t xml:space="preserve"> </w:t>
      </w:r>
      <w:r>
        <w:t xml:space="preserve">clínico e geral particularmente informativa.</w:t>
      </w:r>
    </w:p>
    <w:p>
      <w:pPr>
        <w:pStyle w:val="Heading3"/>
      </w:pPr>
      <w:bookmarkStart w:id="26" w:name="modelos-baseados-em-transformers"/>
      <w:r>
        <w:t xml:space="preserve">2.4. Modelos baseados em</w:t>
      </w:r>
      <w:r>
        <w:t xml:space="preserve"> </w:t>
      </w:r>
      <w:r>
        <w:rPr>
          <w:i/>
        </w:rPr>
        <w:t xml:space="preserve">Transformers</w:t>
      </w:r>
      <w:bookmarkEnd w:id="26"/>
    </w:p>
    <w:p>
      <w:pPr>
        <w:pStyle w:val="FirstParagraph"/>
      </w:pPr>
      <w:r>
        <w:t xml:space="preserve">A arquitetura</w:t>
      </w:r>
      <w:r>
        <w:t xml:space="preserve"> </w:t>
      </w:r>
      <w:r>
        <w:rPr>
          <w:i/>
        </w:rPr>
        <w:t xml:space="preserve">Transformer</w:t>
      </w:r>
      <w:r>
        <w:t xml:space="preserve"> </w:t>
      </w:r>
      <w:r>
        <w:t xml:space="preserve">(VASWANI et al., 2017), baseada em mecanismos de atenção, viabilizou modelos de linguagem pré-treinados que produzem representações contextuais das palavras. O BERT (DEVLIN et al., 2019) popularizou o paradigma de pré-treinamento seguido de ajuste fino (</w:t>
      </w:r>
      <w:r>
        <w:rPr>
          <w:i/>
        </w:rPr>
        <w:t xml:space="preserve">fine-tuning</w:t>
      </w:r>
      <w:r>
        <w:t xml:space="preserve">) para tarefas específicas. Para o português, há tanto modelos de domínio geral, como o BERTimbau (SOUZA; NOGUEIRA; LOTUFO, 2020), pré-treinado no corpus brWaC, quanto modelos de domínio clínico, como o BioBERTpt (SCHNEIDER et al., 2020), adaptado a narrativas clínicas e biomédicas em português brasileiro. Esses dois modelos compartilham a mesma arquitetura base (BERT) e diferem essencialmente no corpus de pré-treinamento, o que os torna candidatos naturais a um experimento controlado sobre a importância do domínio de pré-treino.</w:t>
      </w:r>
    </w:p>
    <w:p>
      <w:pPr>
        <w:pStyle w:val="Heading2"/>
      </w:pPr>
      <w:bookmarkStart w:id="27" w:name="trabalhos-relacionados"/>
      <w:r>
        <w:t xml:space="preserve">3. Trabalhos Relacionados</w:t>
      </w:r>
      <w:bookmarkEnd w:id="27"/>
    </w:p>
    <w:p>
      <w:pPr>
        <w:pStyle w:val="FirstParagraph"/>
      </w:pPr>
      <w:r>
        <w:t xml:space="preserve">A extração de relações clínicas consolidou-se em língua inglesa em torno de campanhas de avaliação como as séries i2b2 e n2c2 (UZUNER et al., 2011), que disponibilizaram corpora anotados e tarefas compartilhadas para problemas como relações entre medicamentos, dosagens e efeitos adversos. Esses esforços estabeleceram protocolos de avaliação e evidenciaram a importância de tratar adequadamente o desbalanceamento de classes e o vazamento de dados entre partições — preocupações transpostas para este trabalho. No plano dos modelos, o BioBERT (LEE et al., 2020) demonstrou ganhos da adaptação de domínio biomédico em inglês, e técnicas de representação de pares por marcadores de entidade (BALDINI SOARES et al., 2019) tornaram-se padrão para RE com modelos baseados em BERT.</w:t>
      </w:r>
    </w:p>
    <w:p>
      <w:pPr>
        <w:pStyle w:val="BodyText"/>
      </w:pPr>
      <w:r>
        <w:t xml:space="preserve">O desenvolvimento de PLN clínico em português foi por muito tempo limitado pela ausência de corpora anotados de acesso controlado. O SemClinBr (OLIVEIRA et al., 2022) preencheu parte dessa lacuna ao disponibilizar mil documentos clínicos anotados semanticamente, acompanhados de dicionários de abreviações e de pistas de negação. No plano dos modelos, o BioBERTpt (SCHNEIDER et al., 2020) adaptou o paradigma de modelos contextuais ao domínio clínico em português, demonstrando ganhos em reconhecimento de entidades nomeadas em relação a modelos de domínio geral; o BERTimbau (SOUZA; NOGUEIRA; LOTUFO, 2020), por sua vez, é a referência de domínio geral para o português. Enquanto boa parte da literatura em português concentra-se em NER e adota um modelo clínico por hipótese, este trabalho aborda a etapa subsequente de RE e, sobretudo,</w:t>
      </w:r>
      <w:r>
        <w:t xml:space="preserve"> </w:t>
      </w:r>
      <w:r>
        <w:rPr>
          <w:i/>
        </w:rPr>
        <w:t xml:space="preserve">testa</w:t>
      </w:r>
      <w:r>
        <w:t xml:space="preserve"> </w:t>
      </w:r>
      <w:r>
        <w:t xml:space="preserve">de forma controlada se o ganho do pré-treinamento clínico observado em NER se transfere para a extração de relações, com atenção particular à negação clínica.</w:t>
      </w:r>
    </w:p>
    <w:p>
      <w:pPr>
        <w:pStyle w:val="Heading2"/>
      </w:pPr>
      <w:bookmarkStart w:id="28" w:name="materiais-e-métodos"/>
      <w:r>
        <w:t xml:space="preserve">4. Materiais e Métodos</w:t>
      </w:r>
      <w:bookmarkEnd w:id="28"/>
    </w:p>
    <w:p>
      <w:pPr>
        <w:pStyle w:val="FirstParagraph"/>
      </w:pPr>
      <w:r>
        <w:t xml:space="preserve">A premissa metodológica central é a</w:t>
      </w:r>
      <w:r>
        <w:t xml:space="preserve"> </w:t>
      </w:r>
      <w:r>
        <w:rPr>
          <w:i/>
        </w:rPr>
        <w:t xml:space="preserve">paridade</w:t>
      </w:r>
      <w:r>
        <w:t xml:space="preserve">: os dois modelos comparados compartilham um único núcleo de implementação e diferem apenas no</w:t>
      </w:r>
      <w:r>
        <w:t xml:space="preserve"> </w:t>
      </w:r>
      <w:r>
        <w:rPr>
          <w:i/>
        </w:rPr>
        <w:t xml:space="preserve">checkpoint</w:t>
      </w:r>
      <w:r>
        <w:t xml:space="preserve"> </w:t>
      </w:r>
      <w:r>
        <w:t xml:space="preserve">de pré-treino. Todas as etapas foram projetadas sob reprodutibilidade: ordenação determinística das saídas, serialização fixa e semente aleatória registrada (42).</w:t>
      </w:r>
    </w:p>
    <w:p>
      <w:pPr>
        <w:pStyle w:val="Heading3"/>
      </w:pPr>
      <w:bookmarkStart w:id="29" w:name="X68686199a3b450b5286c60bddd38f237fb6a63c"/>
      <w:r>
        <w:t xml:space="preserve">4.1. Corpus SemClinBr e representação canônica</w:t>
      </w:r>
      <w:bookmarkEnd w:id="29"/>
    </w:p>
    <w:p>
      <w:pPr>
        <w:pStyle w:val="FirstParagraph"/>
      </w:pPr>
      <w:r>
        <w:t xml:space="preserve">Utiliza-se o corpus SemClinBr (OLIVEIRA et al., 2022), composto por mil documentos clínicos em português anotados com entidades e relações, distribuído sob licença restrita. Um</w:t>
      </w:r>
      <w:r>
        <w:t xml:space="preserve"> </w:t>
      </w:r>
      <w:r>
        <w:rPr>
          <w:i/>
        </w:rPr>
        <w:t xml:space="preserve">parser</w:t>
      </w:r>
      <w:r>
        <w:t xml:space="preserve"> </w:t>
      </w:r>
      <w:r>
        <w:t xml:space="preserve">determinístico converte cada arquivo XML em um registro canônico no formato JSONL, com identificador do documento, texto, lista de entidades (tipo e</w:t>
      </w:r>
      <w:r>
        <w:t xml:space="preserve"> </w:t>
      </w:r>
      <w:r>
        <w:rPr>
          <w:i/>
        </w:rPr>
        <w:t xml:space="preserve">offsets</w:t>
      </w:r>
      <w:r>
        <w:t xml:space="preserve">) e lista de relações. O</w:t>
      </w:r>
      <w:r>
        <w:t xml:space="preserve"> </w:t>
      </w:r>
      <w:r>
        <w:rPr>
          <w:i/>
        </w:rPr>
        <w:t xml:space="preserve">parser</w:t>
      </w:r>
      <w:r>
        <w:t xml:space="preserve"> </w:t>
      </w:r>
      <w:r>
        <w:t xml:space="preserve">é fiel ao XML e executa verificações de sanidade (correspondência entre o texto extraído por</w:t>
      </w:r>
      <w:r>
        <w:t xml:space="preserve"> </w:t>
      </w:r>
      <w:r>
        <w:rPr>
          <w:i/>
        </w:rPr>
        <w:t xml:space="preserve">offset</w:t>
      </w:r>
      <w:r>
        <w:t xml:space="preserve"> </w:t>
      </w:r>
      <w:r>
        <w:t xml:space="preserve">e o atributo anotado, validade dos intervalos e integridade referencial das relações), corrigindo automaticamente pequenos deslocamentos de</w:t>
      </w:r>
      <w:r>
        <w:t xml:space="preserve"> </w:t>
      </w:r>
      <w:r>
        <w:rPr>
          <w:i/>
        </w:rPr>
        <w:t xml:space="preserve">offset</w:t>
      </w:r>
      <w:r>
        <w:t xml:space="preserve"> </w:t>
      </w:r>
      <w:r>
        <w:t xml:space="preserve">(±1 e ±2 caracteres) e acumulando as inconsistências em um log de avisos.</w:t>
      </w:r>
    </w:p>
    <w:p>
      <w:pPr>
        <w:pStyle w:val="BodyText"/>
      </w:pPr>
      <w:r>
        <w:t xml:space="preserve">A análise da representação canônica totaliza 1.000 documentos, 45.508 entidades (média de 45,5 por documento) e 11.458 relações (média de 11,5; mediana de 10; máximo de 65 por documento); 46 documentos (4,60%) não possuem relação anotada. As relações distribuem-se de forma fortemente desbalanceada entre os dois tipos anotados: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responde por 9.852 ocorrências (86,0%) 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 </w:t>
      </w:r>
      <w:r>
        <w:t xml:space="preserve">por 1.606 (14,0%). Esse desequilíbrio motiva tanto a escolha do macro-F1 como métrica principal quanto o tratamento explícito de classes no ajuste dos modelos.</w:t>
      </w:r>
    </w:p>
    <w:p>
      <w:pPr>
        <w:pStyle w:val="Heading3"/>
      </w:pPr>
      <w:bookmarkStart w:id="30" w:name="particionamento-dos-dados"/>
      <w:r>
        <w:t xml:space="preserve">4.2. Particionamento dos dados</w:t>
      </w:r>
      <w:bookmarkEnd w:id="30"/>
    </w:p>
    <w:p>
      <w:pPr>
        <w:pStyle w:val="FirstParagraph"/>
      </w:pPr>
      <w:r>
        <w:t xml:space="preserve">A partição segue a razão 80/10/10 em nível de</w:t>
      </w:r>
      <w:r>
        <w:t xml:space="preserve"> </w:t>
      </w:r>
      <w:r>
        <w:rPr>
          <w:i/>
        </w:rPr>
        <w:t xml:space="preserve">documento</w:t>
      </w:r>
      <w:r>
        <w:t xml:space="preserve">, e não de relação. Essa escolha previne o vazamento de dados: relações de um mesmo documento compartilham vocabulário e trechos repetidos, e dividi-las entre partições diferentes inflaria artificialmente as métricas de teste. A partição é estratificada pela presença das classes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em cada documento, por meio do algoritmo de estratificação multirrótulo de Sechidis, Tsoumakas e Vlahavas (2011), de modo a garantir representação estável da classe minoritária. A partição é gerada com semente fixa (42) e congelada. O resultado são 800 documentos de treino, 100 de desenvolvimento e 100 de teste; a proporção de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 </w:t>
      </w:r>
      <w:r>
        <w:t xml:space="preserve">permanece estável (entre 13,7% e 15,0%) em todas as partições, condição necessária para que a estimativa de F1 dessa classe no teste seja confiável.</w:t>
      </w:r>
    </w:p>
    <w:p>
      <w:pPr>
        <w:pStyle w:val="Heading3"/>
      </w:pPr>
      <w:bookmarkStart w:id="31" w:name="geração-de-pares-candidatos"/>
      <w:r>
        <w:t xml:space="preserve">4.3. Geração de pares candidatos</w:t>
      </w:r>
      <w:bookmarkEnd w:id="31"/>
    </w:p>
    <w:p>
      <w:pPr>
        <w:pStyle w:val="FirstParagraph"/>
      </w:pPr>
      <w:r>
        <w:t xml:space="preserve">O SemClinBr anota apenas relações positivas. Avaliar um classificador no espaço {</w:t>
      </w:r>
      <w:r>
        <w:rPr>
          <w:rStyle w:val="VerbatimChar"/>
        </w:rPr>
        <w:t xml:space="preserve">negation_of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} exige, portanto, construir os exemplos negativos. A geração é feita por uma função compartilhada por ambos os modelos — condição necessária para que os resultados fiquem na mesma régua estatística. Para cada documento, percorrem-se todos os pares ordenados de entidades (e₁, e₂), e₁ ≠ e₂ (a ordem importa, porque a direção é relevante para a negação); descartam-se os pares cuja distância exceda a janela máxima (</w:t>
      </w:r>
      <w:r>
        <w:rPr>
          <w:rStyle w:val="VerbatimChar"/>
        </w:rPr>
        <w:t xml:space="preserve">max_gap</w:t>
      </w:r>
      <w:r>
        <w:t xml:space="preserve"> </w:t>
      </w:r>
      <w:r>
        <w:t xml:space="preserve">= 20) e os pares entre documentos distintos; e atribui-se o rótulo: se o par ordenado coincide com uma relação anotada, recebe o tipo</w:t>
      </w:r>
      <w:r>
        <w:t xml:space="preserve"> </w:t>
      </w:r>
      <w:r>
        <w:rPr>
          <w:i/>
        </w:rPr>
        <w:t xml:space="preserve">gold</w:t>
      </w:r>
      <w:r>
        <w:t xml:space="preserve">; caso contrário, recebe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. A emissão segue ordenação determinística, de modo que o conjunto de candidatos e o</w:t>
      </w:r>
      <w:r>
        <w:t xml:space="preserve"> </w:t>
      </w:r>
      <w:r>
        <w:rPr>
          <w:i/>
        </w:rPr>
        <w:t xml:space="preserve">hash</w:t>
      </w:r>
      <w:r>
        <w:t xml:space="preserve"> </w:t>
      </w:r>
      <w:r>
        <w:t xml:space="preserve">das predições sejam estáveis entre execuções.</w:t>
      </w:r>
    </w:p>
    <w:p>
      <w:pPr>
        <w:pStyle w:val="BodyText"/>
      </w:pPr>
      <w:r>
        <w:t xml:space="preserve">O procedimento gera 128.380 candidatos de treino, 15.994 de desenvolvimento e 16.074 de teste. A consequência é um conjunto de teste fortemente desbalanceado: a classe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 </w:t>
      </w:r>
      <w:r>
        <w:t xml:space="preserve">concentra 14.959 instâncias (93,1%), enquanto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 </w:t>
      </w:r>
      <w:r>
        <w:t xml:space="preserve">somam, respectivamente, 964 e 151. A janela impõe um teto de</w:t>
      </w:r>
      <w:r>
        <w:t xml:space="preserve"> </w:t>
      </w:r>
      <w:r>
        <w:rPr>
          <w:i/>
        </w:rPr>
        <w:t xml:space="preserve">recall</w:t>
      </w:r>
      <w:r>
        <w:t xml:space="preserve">: relações cujo par fique além de</w:t>
      </w:r>
      <w:r>
        <w:t xml:space="preserve"> </w:t>
      </w:r>
      <w:r>
        <w:rPr>
          <w:rStyle w:val="VerbatimChar"/>
        </w:rPr>
        <w:t xml:space="preserve">max_gap</w:t>
      </w:r>
      <w:r>
        <w:t xml:space="preserve"> </w:t>
      </w:r>
      <w:r>
        <w:t xml:space="preserve">jamais são geradas como candidato. No teste, esse limite é desprezível para a negação (151 de 152 relações</w:t>
      </w:r>
      <w:r>
        <w:t xml:space="preserve"> </w:t>
      </w:r>
      <w:r>
        <w:rPr>
          <w:i/>
        </w:rPr>
        <w:t xml:space="preserve">gold</w:t>
      </w:r>
      <w:r>
        <w:t xml:space="preserve"> </w:t>
      </w:r>
      <w:r>
        <w:t xml:space="preserve">preservadas), mas mais sensível para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, fixando um teto de</w:t>
      </w:r>
      <w:r>
        <w:t xml:space="preserve"> </w:t>
      </w:r>
      <w:r>
        <w:rPr>
          <w:i/>
        </w:rPr>
        <w:t xml:space="preserve">recall</w:t>
      </w:r>
      <w:r>
        <w:t xml:space="preserve"> </w:t>
      </w:r>
      <w:r>
        <w:t xml:space="preserve">documentado para essa classe. Como ambos os modelos recebem exatamente os mesmos candidatos, o teto é idêntico para os dois e não afeta a comparação.</w:t>
      </w:r>
    </w:p>
    <w:p>
      <w:pPr>
        <w:pStyle w:val="Heading3"/>
      </w:pPr>
      <w:bookmarkStart w:id="32" w:name="Xa3e991cfdc23d4671f7da343a4027abac1f0df9"/>
      <w:r>
        <w:t xml:space="preserve">4.4. Representação de entrada: marcadores tipados e grupos UMLS</w:t>
      </w:r>
      <w:bookmarkEnd w:id="32"/>
    </w:p>
    <w:p>
      <w:pPr>
        <w:pStyle w:val="FirstParagraph"/>
      </w:pPr>
      <w:r>
        <w:t xml:space="preserve">Cada par candidato é transformado na</w:t>
      </w:r>
      <w:r>
        <w:t xml:space="preserve"> </w:t>
      </w:r>
      <w:r>
        <w:rPr>
          <w:i/>
        </w:rPr>
        <w:t xml:space="preserve">string</w:t>
      </w:r>
      <w:r>
        <w:t xml:space="preserve"> </w:t>
      </w:r>
      <w:r>
        <w:t xml:space="preserve">de entrada do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com marcadores de entidade tipados, no esquema</w:t>
      </w:r>
      <w:r>
        <w:t xml:space="preserve"> </w:t>
      </w:r>
      <w:r>
        <w:rPr>
          <w:rStyle w:val="VerbatimChar"/>
        </w:rPr>
        <w:t xml:space="preserve">[E1] &lt;grupo&gt; : superfície [/E1] … [E2] &lt;grupo&gt; : superfície [/E2]</w:t>
      </w:r>
      <w:r>
        <w:t xml:space="preserve">. Os quatro marcadores são registrados como</w:t>
      </w:r>
      <w:r>
        <w:t xml:space="preserve"> </w:t>
      </w:r>
      <w:r>
        <w:rPr>
          <w:i/>
        </w:rPr>
        <w:t xml:space="preserve">tokens</w:t>
      </w:r>
      <w:r>
        <w:t xml:space="preserve"> </w:t>
      </w:r>
      <w:r>
        <w:t xml:space="preserve">especiais no</w:t>
      </w:r>
      <w:r>
        <w:t xml:space="preserve"> </w:t>
      </w:r>
      <w:r>
        <w:rPr>
          <w:i/>
        </w:rPr>
        <w:t xml:space="preserve">tokenizer</w:t>
      </w:r>
      <w:r>
        <w:t xml:space="preserve">, a ordem (e₁, e₂) preserva a direção da relação, e a representação do par alimentada ao cabeçote de classificação é a concatenação dos estados ocultos dos marcadores de início, na linha de Baldini Soares et al. (2019).</w:t>
      </w:r>
    </w:p>
    <w:p>
      <w:pPr>
        <w:pStyle w:val="BodyText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&lt;grupo&gt;</w:t>
      </w:r>
      <w:r>
        <w:t xml:space="preserve"> </w:t>
      </w:r>
      <w:r>
        <w:t xml:space="preserve">não é o tipo bruto da entidade. O SemClinBr anota cada entidade com tipos semânticos da UMLS, frequentemente em rótulos múltiplos separados por</w:t>
      </w:r>
      <w:r>
        <w:t xml:space="preserve"> </w:t>
      </w:r>
      <w:r>
        <w:t xml:space="preserve">“</w:t>
      </w:r>
      <w:r>
        <w:t xml:space="preserve">|</w:t>
      </w:r>
      <w:r>
        <w:t xml:space="preserve">”</w:t>
      </w:r>
      <w:r>
        <w:t xml:space="preserve"> </w:t>
      </w:r>
      <w:r>
        <w:t xml:space="preserve">(por exemplo,</w:t>
      </w:r>
      <w:r>
        <w:t xml:space="preserve"> </w:t>
      </w:r>
      <w:r>
        <w:rPr>
          <w:rStyle w:val="VerbatimChar"/>
        </w:rPr>
        <w:t xml:space="preserve">Medical Device|Finding|Abbreviation</w:t>
      </w:r>
      <w:r>
        <w:t xml:space="preserve">). Usar a</w:t>
      </w:r>
      <w:r>
        <w:t xml:space="preserve"> </w:t>
      </w:r>
      <w:r>
        <w:rPr>
          <w:i/>
        </w:rPr>
        <w:t xml:space="preserve">string</w:t>
      </w:r>
      <w:r>
        <w:t xml:space="preserve"> </w:t>
      </w:r>
      <w:r>
        <w:t xml:space="preserve">de tipo diretamente faria o número de símbolos distintos explodir (centenas de combinações mal povoadas no treino), prejudicando a generalização. A solução agrega os tipos atômicos nos 15 grupos semânticos da UMLS (McCRAY; BURGUN; BODENREIDER, 2001) — por exemplo, DISO (transtornos), CHEM (químicos e fármacos), PROC (procedimentos) —, acrescidos de duas camadas próprias do corpus que carregam sinal relevante para a tarefa:</w:t>
      </w:r>
      <w:r>
        <w:t xml:space="preserve"> </w:t>
      </w:r>
      <w:r>
        <w:rPr>
          <w:rStyle w:val="VerbatimChar"/>
        </w:rPr>
        <w:t xml:space="preserve">Abbreviation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Negation</w:t>
      </w:r>
      <w:r>
        <w:t xml:space="preserve"> </w:t>
      </w:r>
      <w:r>
        <w:t xml:space="preserve">(esta diretamente associada à classe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). Como a mesma representação de entrada é aplicada aos dois modelos, qualquer efeito dessa escolha é compartilhado e não confunde a comparação.</w:t>
      </w:r>
    </w:p>
    <w:p>
      <w:pPr>
        <w:pStyle w:val="Heading3"/>
      </w:pPr>
      <w:bookmarkStart w:id="33" w:name="modelos-comparados-e-paridade"/>
      <w:r>
        <w:t xml:space="preserve">4.5. Modelos comparados e paridade</w:t>
      </w:r>
      <w:bookmarkEnd w:id="33"/>
    </w:p>
    <w:p>
      <w:pPr>
        <w:pStyle w:val="FirstParagraph"/>
      </w:pPr>
      <w:r>
        <w:t xml:space="preserve">Comparam-se dois</w:t>
      </w:r>
      <w:r>
        <w:t xml:space="preserve"> </w:t>
      </w:r>
      <w:r>
        <w:rPr>
          <w:i/>
        </w:rPr>
        <w:t xml:space="preserve">encoders</w:t>
      </w:r>
      <w:r>
        <w:t xml:space="preserve"> </w:t>
      </w:r>
      <w:r>
        <w:t xml:space="preserve">para o português sob a mesma tarefa, variando apenas o</w:t>
      </w:r>
      <w:r>
        <w:t xml:space="preserve"> </w:t>
      </w:r>
      <w:r>
        <w:rPr>
          <w:i/>
        </w:rPr>
        <w:t xml:space="preserve">checkpoint</w:t>
      </w:r>
      <w:r>
        <w:t xml:space="preserve"> </w:t>
      </w:r>
      <w:r>
        <w:t xml:space="preserve">de pré-treino: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BioBERTpt</w:t>
      </w:r>
      <w:r>
        <w:t xml:space="preserve"> </w:t>
      </w:r>
      <w:r>
        <w:t xml:space="preserve">(</w:t>
      </w:r>
      <w:r>
        <w:rPr>
          <w:rStyle w:val="VerbatimChar"/>
        </w:rPr>
        <w:t xml:space="preserve">pucpr/biobertpt-all</w:t>
      </w:r>
      <w:r>
        <w:t xml:space="preserve">) —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de domínio</w:t>
      </w:r>
      <w:r>
        <w:t xml:space="preserve"> </w:t>
      </w:r>
      <w:r>
        <w:rPr>
          <w:i/>
        </w:rPr>
        <w:t xml:space="preserve">clínico</w:t>
      </w:r>
      <w:r>
        <w:t xml:space="preserve">, com 177,9 milhões de parâmetros (SCHNEIDER et al., 2020).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BERTimbau</w:t>
      </w:r>
      <w:r>
        <w:t xml:space="preserve"> </w:t>
      </w:r>
      <w:r>
        <w:t xml:space="preserve">(</w:t>
      </w:r>
      <w:r>
        <w:rPr>
          <w:rStyle w:val="VerbatimChar"/>
        </w:rPr>
        <w:t xml:space="preserve">neuralmind/bert-base-portuguese-cased</w:t>
      </w:r>
      <w:r>
        <w:t xml:space="preserve">) —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de domínio</w:t>
      </w:r>
      <w:r>
        <w:t xml:space="preserve"> </w:t>
      </w:r>
      <w:r>
        <w:rPr>
          <w:i/>
        </w:rPr>
        <w:t xml:space="preserve">geral</w:t>
      </w:r>
      <w:r>
        <w:t xml:space="preserve">, pré-treinado no brWaC, com 108,9 milhões de parâmetros (SOUZA; NOGUEIRA; LOTUFO, 2020).</w:t>
      </w:r>
    </w:p>
    <w:p>
      <w:pPr>
        <w:pStyle w:val="FirstParagraph"/>
      </w:pPr>
      <w:r>
        <w:t xml:space="preserve">Os dois compartilham um único núcleo de implementação e, portanto, são idênticos por construção em tudo, exceto o modelo: a representação de entrada por marcadores tipados; a perda de entropia cruzada com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 que reescala o erro de forma inversamente proporcional à frequência de cada classe (sem o que o otimizador minimizaria o erro prevendo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 </w:t>
      </w:r>
      <w:r>
        <w:t xml:space="preserve">para quase tudo); o escalonador linear com</w:t>
      </w:r>
      <w:r>
        <w:t xml:space="preserve"> </w:t>
      </w:r>
      <w:r>
        <w:rPr>
          <w:i/>
        </w:rPr>
        <w:t xml:space="preserve">warmup</w:t>
      </w:r>
      <w:r>
        <w:t xml:space="preserve">; a seleção da melhor época pelo macro-F1 no conjunto de desenvolvimento; e a semente de reprodutibilidade (42). Trocar um modelo pelo outro consiste apenas em mudar o</w:t>
      </w:r>
      <w:r>
        <w:t xml:space="preserve"> </w:t>
      </w:r>
      <w:r>
        <w:rPr>
          <w:i/>
        </w:rPr>
        <w:t xml:space="preserve">checkpoint</w:t>
      </w:r>
      <w:r>
        <w:t xml:space="preserve"> </w:t>
      </w:r>
      <w:r>
        <w:t xml:space="preserve">carregado.</w:t>
      </w:r>
    </w:p>
    <w:p>
      <w:pPr>
        <w:pStyle w:val="Heading3"/>
      </w:pPr>
      <w:bookmarkStart w:id="34" w:name="protocolo-de-avaliação"/>
      <w:r>
        <w:t xml:space="preserve">4.6. Protocolo de avaliação</w:t>
      </w:r>
      <w:bookmarkEnd w:id="34"/>
    </w:p>
    <w:p>
      <w:pPr>
        <w:pStyle w:val="FirstParagraph"/>
      </w:pPr>
      <w:r>
        <w:t xml:space="preserve">A métrica principal é o macro-F1, que atribui peso igual às três classes e, portanto, penaliza modelos que ignoram as classes minoritárias — comportamento desejável dado o desbalanceamento. Classes ausentes nas predições recebem F1 nulo, conforme Forman e Scholz (2010). Reportam-se também o F1 por classe, o micro-F1 (acurácia), o</w:t>
      </w:r>
      <w:r>
        <w:t xml:space="preserve"> </w:t>
      </w:r>
      <w:r>
        <w:rPr>
          <w:i/>
        </w:rPr>
        <w:t xml:space="preserve">weighted</w:t>
      </w:r>
      <w:r>
        <w:t xml:space="preserve">-F1 e o coeficiente de correlação de Matthews (MCC), robusto a desbalanceamento. A métrica que responde diretamente à pergunta</w:t>
      </w:r>
      <w:r>
        <w:t xml:space="preserve"> </w:t>
      </w:r>
      <w:r>
        <w:t xml:space="preserve">“</w:t>
      </w:r>
      <w:r>
        <w:t xml:space="preserve">o modelo detecta bem a negação?</w:t>
      </w:r>
      <w:r>
        <w:t xml:space="preserve">”</w:t>
      </w:r>
      <w:r>
        <w:t xml:space="preserve"> </w:t>
      </w:r>
      <w:r>
        <w:t xml:space="preserve">é o F1 de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 </w:t>
      </w:r>
      <w:r>
        <w:t xml:space="preserve">no teste.</w:t>
      </w:r>
    </w:p>
    <w:p>
      <w:pPr>
        <w:pStyle w:val="BodyText"/>
      </w:pPr>
      <w:r>
        <w:t xml:space="preserve">A comparação entre os dois modelos emprega dois testes complementares, calculados sobre o mesmo conjunto de teste a partir das predições salvas. O teste de McNemar (DIETTERICH, 1998) olha apenas os casos em que os modelos discordam no acerto (b = o primeiro acerta e o segundo erra; c = o inverso) e, sob a hipótese nula de mesma taxa de acerto, avalia b ~ Binomial(b+c, 0,5) pelo teste binomial exato; mede se os padrões de erro globais diferem. O</w:t>
      </w:r>
      <w:r>
        <w:t xml:space="preserve"> </w:t>
      </w:r>
      <w:r>
        <w:rPr>
          <w:i/>
        </w:rPr>
        <w:t xml:space="preserve">bootstrap</w:t>
      </w:r>
      <w:r>
        <w:t xml:space="preserve"> </w:t>
      </w:r>
      <w:r>
        <w:t xml:space="preserve">pareado no F1 de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 </w:t>
      </w:r>
      <w:r>
        <w:t xml:space="preserve">reamostra os exemplos do teste com reposição 10.000 vezes e recalcula a diferença F1_A − F1_B, reportando a diferença média, o intervalo de confiança de 95% (percentis 2,5/97,5) e um valor-p bilateral; mede diretamente se a vantagem na negação é robusta. Como análise de robustez à variação de inicialização, o BioBERTpt é treinado também com uma segunda semente (43).</w:t>
      </w:r>
    </w:p>
    <w:p>
      <w:pPr>
        <w:pStyle w:val="Heading3"/>
      </w:pPr>
      <w:bookmarkStart w:id="35" w:name="ambiente-experimental"/>
      <w:r>
        <w:t xml:space="preserve">4.7. Ambiente experimental</w:t>
      </w:r>
      <w:bookmarkEnd w:id="35"/>
    </w:p>
    <w:p>
      <w:pPr>
        <w:pStyle w:val="FirstParagraph"/>
      </w:pPr>
      <w:r>
        <w:t xml:space="preserve">O ajuste fino é executado em GPU (Google Colab, Tesla T4); o parsing, o particionamento, a geração de candidatos e os testes de significância executam em CPU. Os principais hiperparâmetros são: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 </w:t>
      </w:r>
      <w:r>
        <w:t xml:space="preserve">de 128</w:t>
      </w:r>
      <w:r>
        <w:t xml:space="preserve"> </w:t>
      </w:r>
      <w:r>
        <w:rPr>
          <w:i/>
        </w:rPr>
        <w:t xml:space="preserve">tokens</w:t>
      </w:r>
      <w:r>
        <w:t xml:space="preserve">, janela de contexto de 128 caracteres em torno do par, tamanho de lote 64, taxa de aprendizado 2×10⁻⁵ (AdamW), 3 épocas e seleção de modelo por macro-F1 no desenvolvimento. Esses valores são idênticos para os dois modelos.</w:t>
      </w:r>
    </w:p>
    <w:p>
      <w:pPr>
        <w:pStyle w:val="Heading2"/>
      </w:pPr>
      <w:bookmarkStart w:id="36" w:name="experimentos-e-resultados"/>
      <w:r>
        <w:t xml:space="preserve">5. Experimentos e Resultados</w:t>
      </w:r>
      <w:bookmarkEnd w:id="36"/>
    </w:p>
    <w:p>
      <w:pPr>
        <w:pStyle w:val="FirstParagraph"/>
      </w:pPr>
      <w:r>
        <w:t xml:space="preserve">Todos os modelos foram avaliados sobre o mesmo conjunto de teste, composto por 16.074 pares candidatos (14.959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, 964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e 151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). A Tabela 1 consolida os resultados dos dois</w:t>
      </w:r>
      <w:r>
        <w:t xml:space="preserve"> </w:t>
      </w:r>
      <w:r>
        <w:rPr>
          <w:i/>
        </w:rPr>
        <w:t xml:space="preserve">encoders</w:t>
      </w:r>
      <w:r>
        <w:t xml:space="preserve"> </w:t>
      </w:r>
      <w:r>
        <w:t xml:space="preserve">na semente 42. Os melhores valores por coluna estão em negrito.</w:t>
      </w:r>
    </w:p>
    <w:p>
      <w:pPr>
        <w:pStyle w:val="BodyText"/>
      </w:pPr>
      <w:r>
        <w:rPr>
          <w:b/>
        </w:rPr>
        <w:t xml:space="preserve">Tabela 1. Resultados no conjunto de teste (semente 42). Negrito indica o melhor valor por coluna.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Macro-F1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 neg.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 assoc.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F1 no_rel.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MCC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Acur.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BioBERTpt (clínico)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0,707</w:t>
            </w:r>
          </w:p>
        </w:tc>
        <w:tc>
          <w:p>
            <w:pPr>
              <w:pStyle w:val="Compact"/>
              <w:jc w:val="left"/>
            </w:pPr>
            <w:r>
              <w:t xml:space="preserve">0,724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0,460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0,935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0,487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0,885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BERTimbau (geral)</w:t>
            </w:r>
          </w:p>
        </w:tc>
        <w:tc>
          <w:p>
            <w:pPr>
              <w:pStyle w:val="Compact"/>
              <w:jc w:val="left"/>
            </w:pPr>
            <w:r>
              <w:t xml:space="preserve">0,704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0,734</w:t>
            </w:r>
          </w:p>
        </w:tc>
        <w:tc>
          <w:p>
            <w:pPr>
              <w:pStyle w:val="Compact"/>
              <w:jc w:val="left"/>
            </w:pPr>
            <w:r>
              <w:t xml:space="preserve">0,445</w:t>
            </w:r>
          </w:p>
        </w:tc>
        <w:tc>
          <w:p>
            <w:pPr>
              <w:pStyle w:val="Compact"/>
              <w:jc w:val="left"/>
            </w:pPr>
            <w:r>
              <w:t xml:space="preserve">0,934</w:t>
            </w:r>
          </w:p>
        </w:tc>
        <w:tc>
          <w:p>
            <w:pPr>
              <w:pStyle w:val="Compact"/>
              <w:jc w:val="left"/>
            </w:pPr>
            <w:r>
              <w:t xml:space="preserve">0,471</w:t>
            </w:r>
          </w:p>
        </w:tc>
        <w:tc>
          <w:p>
            <w:pPr>
              <w:pStyle w:val="Compact"/>
              <w:jc w:val="left"/>
            </w:pPr>
            <w:r>
              <w:t xml:space="preserve">0,882</w:t>
            </w:r>
          </w:p>
        </w:tc>
      </w:tr>
    </w:tbl>
    <w:p>
      <w:pPr>
        <w:pStyle w:val="Heading3"/>
      </w:pPr>
      <w:bookmarkStart w:id="37" w:name="desempenho-dos-dois-encoders"/>
      <w:r>
        <w:t xml:space="preserve">5.1. Desempenho dos dois</w:t>
      </w:r>
      <w:r>
        <w:t xml:space="preserve"> </w:t>
      </w:r>
      <w:r>
        <w:rPr>
          <w:i/>
        </w:rPr>
        <w:t xml:space="preserve">encoders</w:t>
      </w:r>
      <w:bookmarkEnd w:id="37"/>
    </w:p>
    <w:p>
      <w:pPr>
        <w:pStyle w:val="FirstParagraph"/>
      </w:pPr>
      <w:r>
        <w:t xml:space="preserve">Os dois modelos apresentam desempenho praticamente indistinguível. O BioBERTpt clínico atinge macro-F1 de 0,707 e o BERTimbau geral, 0,704 — uma diferença de 0,003. Na métrica-alvo, o F1 de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, a ordem inclusive se inverte: o BERTimbau geral (0,734) supera marginalmente o BioBERTpt clínico (0,724). As demais métricas seguem o mesmo padrão de quase empate: ambos alcançam</w:t>
      </w:r>
      <w:r>
        <w:t xml:space="preserve"> </w:t>
      </w:r>
      <w:r>
        <w:rPr>
          <w:i/>
        </w:rPr>
        <w:t xml:space="preserve">recall</w:t>
      </w:r>
      <w:r>
        <w:t xml:space="preserve"> </w:t>
      </w:r>
      <w:r>
        <w:t xml:space="preserve">alto na negação (BioBERTpt 0,894; BERTimbau 0,887) com precisão moderada (≈0,61–0,63), e ambos têm na classe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a maior dificuldade (F1 ≈0,45–0,46), com alta cobertura mas baixa precisão, refletindo a dificuldade de distinguir associação genuína de mera proximidade textual. A Figura 1 resume o F1 por classe dos dois modelos.</w:t>
      </w:r>
    </w:p>
    <w:p>
      <w:pPr>
        <w:pStyle w:val="CaptionedFigure"/>
      </w:pPr>
      <w:r>
        <w:drawing>
          <wp:inline>
            <wp:extent cx="4852293" cy="2830504"/>
            <wp:effectExtent b="0" l="0" r="0" t="0"/>
            <wp:docPr descr="Figura 1. F1 por classe no conjunto de teste: BioBERTpt (clínico) vs. BERTimbau (geral). As barras são praticamente coincidentes em todas as classes." title="" id="1" name="Picture"/>
            <a:graphic>
              <a:graphicData uri="http://schemas.openxmlformats.org/drawingml/2006/picture">
                <pic:pic>
                  <pic:nvPicPr>
                    <pic:cNvPr descr="figs/f1_por_clas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93" cy="2830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1. F1 por classe no conjunto de teste: BioBERTpt (clínico) vs. BERTimbau (geral). As barras são praticamente coincidentes em todas as classes.</w:t>
      </w:r>
    </w:p>
    <w:p>
      <w:pPr>
        <w:pStyle w:val="BodyText"/>
      </w:pPr>
      <w:r>
        <w:rPr>
          <w:b/>
        </w:rPr>
        <w:t xml:space="preserve">Figura 1. F1 por classe no conjunto de teste: BioBERTpt (clínico) vs. BERTimbau (geral). As barras são praticamente coincidentes em todas as classes.</w:t>
      </w:r>
    </w:p>
    <w:p>
      <w:pPr>
        <w:pStyle w:val="Heading3"/>
      </w:pPr>
      <w:bookmarkStart w:id="39" w:name="matrizes-de-confusão"/>
      <w:r>
        <w:t xml:space="preserve">5.2. Matrizes de confusão</w:t>
      </w:r>
      <w:bookmarkEnd w:id="39"/>
    </w:p>
    <w:p>
      <w:pPr>
        <w:pStyle w:val="FirstParagraph"/>
      </w:pPr>
      <w:r>
        <w:t xml:space="preserve">As Figuras 2 e 3 apresentam as matrizes de confusão dos dois modelos, normalizadas por linha (cada célula é a fração das instâncias de uma classe verdadeira atribuída a cada classe predita; a diagonal corresponde ao</w:t>
      </w:r>
      <w:r>
        <w:t xml:space="preserve"> </w:t>
      </w:r>
      <w:r>
        <w:rPr>
          <w:i/>
        </w:rPr>
        <w:t xml:space="preserve">recall</w:t>
      </w:r>
      <w:r>
        <w:t xml:space="preserve"> </w:t>
      </w:r>
      <w:r>
        <w:t xml:space="preserve">por classe). Os dois padrões de erro são notavelmente semelhantes: diagonal forte na negação e na classe majoritária, e o erro dominante remanescente na confusão entre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 </w:t>
      </w:r>
      <w:r>
        <w:t xml:space="preserve">— coerente com a baixa precisão daquela classe nos dois modelos. A semelhança qualitativa entre as matrizes reforça a leitura de que os dois</w:t>
      </w:r>
      <w:r>
        <w:t xml:space="preserve"> </w:t>
      </w:r>
      <w:r>
        <w:rPr>
          <w:i/>
        </w:rPr>
        <w:t xml:space="preserve">encoders</w:t>
      </w:r>
      <w:r>
        <w:t xml:space="preserve"> </w:t>
      </w:r>
      <w:r>
        <w:t xml:space="preserve">aprendem essencialmente a mesma função para esta tarefa.</w:t>
      </w:r>
    </w:p>
    <w:p>
      <w:pPr>
        <w:pStyle w:val="CaptionedFigure"/>
      </w:pPr>
      <w:r>
        <w:drawing>
          <wp:inline>
            <wp:extent cx="3368116" cy="3115392"/>
            <wp:effectExtent b="0" l="0" r="0" t="0"/>
            <wp:docPr descr="Figura 2. Matriz de confusão do BioBERTpt (clínico), normalizada por linha." title="" id="1" name="Picture"/>
            <a:graphic>
              <a:graphicData uri="http://schemas.openxmlformats.org/drawingml/2006/picture">
                <pic:pic>
                  <pic:nvPicPr>
                    <pic:cNvPr descr="figs/cm_biobertp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116" cy="311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2. Matriz de confusão do BioBERTpt (clínico), normalizada por linha.</w:t>
      </w:r>
    </w:p>
    <w:p>
      <w:pPr>
        <w:pStyle w:val="BodyText"/>
      </w:pPr>
      <w:r>
        <w:rPr>
          <w:b/>
        </w:rPr>
        <w:t xml:space="preserve">Figura 2. Matriz de confusão do BioBERTpt (clínico), normalizada por linha.</w:t>
      </w:r>
    </w:p>
    <w:p>
      <w:pPr>
        <w:pStyle w:val="CaptionedFigure"/>
      </w:pPr>
      <w:r>
        <w:drawing>
          <wp:inline>
            <wp:extent cx="3377306" cy="3115392"/>
            <wp:effectExtent b="0" l="0" r="0" t="0"/>
            <wp:docPr descr="Figura 3. Matriz de confusão do BERTimbau (geral), normalizada por linha." title="" id="1" name="Picture"/>
            <a:graphic>
              <a:graphicData uri="http://schemas.openxmlformats.org/drawingml/2006/picture">
                <pic:pic>
                  <pic:nvPicPr>
                    <pic:cNvPr descr="figs/cm_bertimbau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306" cy="3115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3. Matriz de confusão do BERTimbau (geral), normalizada por linha.</w:t>
      </w:r>
    </w:p>
    <w:p>
      <w:pPr>
        <w:pStyle w:val="BodyText"/>
      </w:pPr>
      <w:r>
        <w:rPr>
          <w:b/>
        </w:rPr>
        <w:t xml:space="preserve">Figura 3. Matriz de confusão do BERTimbau (geral), normalizada por linha.</w:t>
      </w:r>
    </w:p>
    <w:p>
      <w:pPr>
        <w:pStyle w:val="Heading3"/>
      </w:pPr>
      <w:bookmarkStart w:id="42" w:name="significância-estatística"/>
      <w:r>
        <w:t xml:space="preserve">5.3. Significância estatística</w:t>
      </w:r>
      <w:bookmarkEnd w:id="42"/>
    </w:p>
    <w:p>
      <w:pPr>
        <w:pStyle w:val="FirstParagraph"/>
      </w:pPr>
      <w:r>
        <w:t xml:space="preserve">A proximidade dos valores pontuais sugere empate, mas a conclusão exige um teste pareado. A Tabela 2 reporta a comparação direta entre os dois modelos no conjunto de teste. No F1 de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, a diferença observada é de apenas −0,010 (a favor do BERTimbau geral). O teste de McNemar não rejeita a hipótese nula de igualdade (p = 0,18): das 946 instâncias em que os modelos discordam, 494 favorecem o BioBERTpt e 452 o BERTimbau, uma assimetria compatível com o acaso. O</w:t>
      </w:r>
      <w:r>
        <w:t xml:space="preserve"> </w:t>
      </w:r>
      <w:r>
        <w:rPr>
          <w:i/>
        </w:rPr>
        <w:t xml:space="preserve">bootstrap</w:t>
      </w:r>
      <w:r>
        <w:t xml:space="preserve"> </w:t>
      </w:r>
      <w:r>
        <w:t xml:space="preserve">pareado confirma o resultado: o intervalo de confiança de 95% para a diferença no F1 de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 </w:t>
      </w:r>
      <w:r>
        <w:t xml:space="preserve">é [−0,047; +0,026], que</w:t>
      </w:r>
      <w:r>
        <w:t xml:space="preserve"> </w:t>
      </w:r>
      <w:r>
        <w:rPr>
          <w:i/>
        </w:rPr>
        <w:t xml:space="preserve">inclui o zero</w:t>
      </w:r>
      <w:r>
        <w:t xml:space="preserve">, com valor-p de 0,57. Em ambos os testes, portanto,</w:t>
      </w:r>
      <w:r>
        <w:t xml:space="preserve"> </w:t>
      </w:r>
      <w:r>
        <w:rPr>
          <w:b/>
        </w:rPr>
        <w:t xml:space="preserve">não há diferença estatisticamente significativa</w:t>
      </w:r>
      <w:r>
        <w:t xml:space="preserve"> </w:t>
      </w:r>
      <w:r>
        <w:t xml:space="preserve">entre o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clínico e o geral.</w:t>
      </w:r>
    </w:p>
    <w:p>
      <w:pPr>
        <w:pStyle w:val="BodyText"/>
      </w:pPr>
      <w:r>
        <w:rPr>
          <w:b/>
        </w:rPr>
        <w:t xml:space="preserve">Tabela 2. Comparação pareada BioBERTpt (clínico) vs. BERTimbau (geral) no teste (n = 16.074, semente 42).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  <w:r>
              <w:t xml:space="preserve"> </w:t>
            </w:r>
            <w:r>
              <w:rPr>
                <w:rStyle w:val="VerbatimChar"/>
              </w:rPr>
              <w:t xml:space="preserve">negation_of</w:t>
            </w:r>
            <w:r>
              <w:t xml:space="preserve"> </w:t>
            </w:r>
            <w:r>
              <w:t xml:space="preserve">— BioBERTpt (A)</w:t>
            </w:r>
          </w:p>
        </w:tc>
        <w:tc>
          <w:p>
            <w:pPr>
              <w:pStyle w:val="Compact"/>
              <w:jc w:val="left"/>
            </w:pPr>
            <w:r>
              <w:t xml:space="preserve">0,724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</w:t>
            </w:r>
            <w:r>
              <w:t xml:space="preserve"> </w:t>
            </w:r>
            <w:r>
              <w:rPr>
                <w:rStyle w:val="VerbatimChar"/>
              </w:rPr>
              <w:t xml:space="preserve">negation_of</w:t>
            </w:r>
            <w:r>
              <w:t xml:space="preserve"> </w:t>
            </w:r>
            <w:r>
              <w:t xml:space="preserve">— BERTimbau (B)</w:t>
            </w:r>
          </w:p>
        </w:tc>
        <w:tc>
          <w:p>
            <w:pPr>
              <w:pStyle w:val="Compact"/>
              <w:jc w:val="left"/>
            </w:pPr>
            <w:r>
              <w:t xml:space="preserve">0,734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Diferença observada (A − B)</w:t>
            </w:r>
          </w:p>
        </w:tc>
        <w:tc>
          <w:p>
            <w:pPr>
              <w:pStyle w:val="Compact"/>
              <w:jc w:val="left"/>
            </w:pPr>
            <w:r>
              <w:t xml:space="preserve">−0,010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McNemar: b (só A acerta) / c (só B acerta)</w:t>
            </w:r>
          </w:p>
        </w:tc>
        <w:tc>
          <w:p>
            <w:pPr>
              <w:pStyle w:val="Compact"/>
              <w:jc w:val="left"/>
            </w:pPr>
            <w:r>
              <w:t xml:space="preserve">494 / 452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McNemar: valor-p (binomial exato)</w:t>
            </w:r>
          </w:p>
        </w:tc>
        <w:tc>
          <w:p>
            <w:pPr>
              <w:pStyle w:val="Compact"/>
              <w:jc w:val="left"/>
            </w:pPr>
            <w:r>
              <w:t xml:space="preserve">0,18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Bootstrap</w:t>
            </w:r>
            <w:r>
              <w:t xml:space="preserve"> </w:t>
            </w:r>
            <w:r>
              <w:t xml:space="preserve">pareado: IC95% da diferença</w:t>
            </w:r>
          </w:p>
        </w:tc>
        <w:tc>
          <w:p>
            <w:pPr>
              <w:pStyle w:val="Compact"/>
              <w:jc w:val="left"/>
            </w:pPr>
            <w:r>
              <w:t xml:space="preserve">[−0,047; +0,026]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/>
              </w:rPr>
              <w:t xml:space="preserve">Bootstrap</w:t>
            </w:r>
            <w:r>
              <w:t xml:space="preserve"> </w:t>
            </w:r>
            <w:r>
              <w:t xml:space="preserve">pareado: valor-p</w:t>
            </w:r>
          </w:p>
        </w:tc>
        <w:tc>
          <w:p>
            <w:pPr>
              <w:pStyle w:val="Compact"/>
              <w:jc w:val="left"/>
            </w:pPr>
            <w:r>
              <w:t xml:space="preserve">0,57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Diferença significativa (α = 0,05)?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Não</w:t>
            </w:r>
          </w:p>
        </w:tc>
      </w:tr>
    </w:tbl>
    <w:p>
      <w:pPr>
        <w:pStyle w:val="Heading3"/>
      </w:pPr>
      <w:bookmarkStart w:id="43" w:name="robustez-à-semente"/>
      <w:r>
        <w:t xml:space="preserve">5.4. Robustez à semente</w:t>
      </w:r>
      <w:bookmarkEnd w:id="43"/>
    </w:p>
    <w:p>
      <w:pPr>
        <w:pStyle w:val="FirstParagraph"/>
      </w:pPr>
      <w:r>
        <w:t xml:space="preserve">Para situar a magnitude da diferença entre os modelos, treinamos o BioBERTpt com uma segunda semente (43). O macro-F1 cai de 0,707 (semente 42) para 0,665 (semente 43), e o F1 de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, de 0,724 para 0,653 — uma variação de 0,071 atribuível</w:t>
      </w:r>
      <w:r>
        <w:t xml:space="preserve"> </w:t>
      </w:r>
      <w:r>
        <w:rPr>
          <w:i/>
        </w:rPr>
        <w:t xml:space="preserve">apenas</w:t>
      </w:r>
      <w:r>
        <w:t xml:space="preserve"> </w:t>
      </w:r>
      <w:r>
        <w:t xml:space="preserve">à inicialização aleatória do treino. Essa variação entre sementes de um</w:t>
      </w:r>
      <w:r>
        <w:t xml:space="preserve"> </w:t>
      </w:r>
      <w:r>
        <w:rPr>
          <w:i/>
        </w:rPr>
        <w:t xml:space="preserve">mesmo</w:t>
      </w:r>
      <w:r>
        <w:t xml:space="preserve"> </w:t>
      </w:r>
      <w:r>
        <w:t xml:space="preserve">modelo é cerca de sete vezes maior que a diferença de 0,010 observada entre o BioBERTpt e o BERTimbau na semente 42. Em outras palavras, o ruído de treino do encoder clínico, isoladamente, é maior que a vantagem que se poderia atribuir ao domínio de pré-treino, o que reforça a conclusão de empate.</w:t>
      </w:r>
    </w:p>
    <w:p>
      <w:pPr>
        <w:pStyle w:val="Heading2"/>
      </w:pPr>
      <w:bookmarkStart w:id="44" w:name="discussão"/>
      <w:r>
        <w:t xml:space="preserve">6. Discussão</w:t>
      </w:r>
      <w:bookmarkEnd w:id="44"/>
    </w:p>
    <w:p>
      <w:pPr>
        <w:pStyle w:val="Heading3"/>
      </w:pPr>
      <w:bookmarkStart w:id="45" w:name="análise-dos-resultados"/>
      <w:r>
        <w:t xml:space="preserve">6.1. Análise dos resultados</w:t>
      </w:r>
      <w:bookmarkEnd w:id="45"/>
    </w:p>
    <w:p>
      <w:pPr>
        <w:pStyle w:val="FirstParagraph"/>
      </w:pPr>
      <w:r>
        <w:t xml:space="preserve">O resultado central é um</w:t>
      </w:r>
      <w:r>
        <w:t xml:space="preserve"> </w:t>
      </w:r>
      <w:r>
        <w:rPr>
          <w:i/>
        </w:rPr>
        <w:t xml:space="preserve">empate estatístico</w:t>
      </w:r>
      <w:r>
        <w:t xml:space="preserve">: para a extração de relações no SemClinBr, no espaço de três classes, o pré-treinamento clínico do BioBERTpt não produz vantagem mensurável sobre o pré-treinamento geral do BERTimbau, nem mesmo na classe de negação, onde a especialização de domínio seria mais plausível. Esse achado contrasta com a expectativa difundida — e com os ganhos relatados para NER clínico em português (SCHNEIDER et al., 2020) — de que modelos de domínio sempre se transfiram melhor.</w:t>
      </w:r>
    </w:p>
    <w:p>
      <w:pPr>
        <w:pStyle w:val="BodyText"/>
      </w:pPr>
      <w:r>
        <w:t xml:space="preserve">Duas explicações são plausíveis e compatíveis com os dados. Primeiro, a negação clínica em português é fortemente lexicalizada (</w:t>
      </w:r>
      <w:r>
        <w:t xml:space="preserve">“</w:t>
      </w:r>
      <w:r>
        <w:t xml:space="preserve">não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sem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nega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afebril</w:t>
      </w:r>
      <w:r>
        <w:t xml:space="preserve">”</w:t>
      </w:r>
      <w:r>
        <w:t xml:space="preserve">); esse sinal é frequente e regular o bastante para que um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de domínio geral, com vocabulário amplo do português, o capture tão bem quanto um clínico, sobretudo quando reforçado pelos marcadores tipados de entrada e pela camada</w:t>
      </w:r>
      <w:r>
        <w:t xml:space="preserve"> </w:t>
      </w:r>
      <w:r>
        <w:rPr>
          <w:rStyle w:val="VerbatimChar"/>
        </w:rPr>
        <w:t xml:space="preserve">Negation</w:t>
      </w:r>
      <w:r>
        <w:t xml:space="preserve"> </w:t>
      </w:r>
      <w:r>
        <w:t xml:space="preserve">dos grupos UMLS. Segundo, a tarefa, tal como formulada, depende mais da estrutura local do par (direção, proximidade, tipos semânticos das entidades) do que de conhecimento lexical especializado de domínio, e essa estrutura é fornecida igualmente aos dois modelos pela representação de entrada compartilhada.</w:t>
      </w:r>
    </w:p>
    <w:p>
      <w:pPr>
        <w:pStyle w:val="BodyText"/>
      </w:pPr>
      <w:r>
        <w:t xml:space="preserve">Um corolário prático relevante é a eficiência: o BERTimbau iguala o BioBERTpt com aproximadamente 60% dos parâmetros (108,9 vs. 177,9 milhões). Quando o desempenho é equivalente, o modelo menor é preferível por custo de inferência e de memória — uma consideração concreta para implantação em ambientes clínicos com recursos limitados.</w:t>
      </w:r>
    </w:p>
    <w:p>
      <w:pPr>
        <w:pStyle w:val="Heading3"/>
      </w:pPr>
      <w:bookmarkStart w:id="46" w:name="limitações-e-ameaças-à-validade"/>
      <w:r>
        <w:t xml:space="preserve">6.2. Limitações e ameaças à validade</w:t>
      </w:r>
      <w:bookmarkEnd w:id="46"/>
    </w:p>
    <w:p>
      <w:pPr>
        <w:pStyle w:val="FirstParagraph"/>
      </w:pPr>
      <w:r>
        <w:t xml:space="preserve">Quanto à validade interna, o congelamento das partições com semente fixa e o particionamento em nível de documento mitigam o vazamento de dados, a principal causa de resultados não reproduzíveis em PLN biomédico; e a paridade total de implementação entre os dois modelos garante que a diferença medida reflita o</w:t>
      </w:r>
      <w:r>
        <w:t xml:space="preserve"> </w:t>
      </w:r>
      <w:r>
        <w:rPr>
          <w:i/>
        </w:rPr>
        <w:t xml:space="preserve">checkpoint</w:t>
      </w:r>
      <w:r>
        <w:t xml:space="preserve">, e não artefatos. Persiste, porém, uma decisão de projeto: a janela</w:t>
      </w:r>
      <w:r>
        <w:t xml:space="preserve"> </w:t>
      </w:r>
      <w:r>
        <w:rPr>
          <w:rStyle w:val="VerbatimChar"/>
        </w:rPr>
        <w:t xml:space="preserve">max_gap</w:t>
      </w:r>
      <w:r>
        <w:t xml:space="preserve"> </w:t>
      </w:r>
      <w:r>
        <w:t xml:space="preserve">na geração de pares descarta relações verdadeiras mais distantes, impondo um teto de</w:t>
      </w:r>
      <w:r>
        <w:t xml:space="preserve"> </w:t>
      </w:r>
      <w:r>
        <w:rPr>
          <w:i/>
        </w:rPr>
        <w:t xml:space="preserve">recall</w:t>
      </w:r>
      <w:r>
        <w:t xml:space="preserve"> </w:t>
      </w:r>
      <w:r>
        <w:t xml:space="preserve">à classe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; como esse teto é idêntico para os dois modelos, ele não afeta a comparação, mas limita o desempenho absoluto reportado. A conclusão de empate apoia-se em uma única semente para o BERTimbau; a análise de robustez por semente foi conduzida apenas para o BioBERTpt e mostra que a variação de inicialização supera a diferença entre modelos — o que sustenta, e não enfraquece, a leitura de empate, mas uma estimativa multi-semente para ambos os modelos a tornaria mais definitiva.</w:t>
      </w:r>
    </w:p>
    <w:p>
      <w:pPr>
        <w:pStyle w:val="BodyText"/>
      </w:pPr>
      <w:r>
        <w:t xml:space="preserve">Quanto à validade externa, a tarefa pressupõe entidades já anotadas (</w:t>
      </w:r>
      <w:r>
        <w:rPr>
          <w:i/>
        </w:rPr>
        <w:t xml:space="preserve">gold</w:t>
      </w:r>
      <w:r>
        <w:t xml:space="preserve">): a avaliação não considera o erro propagado de uma etapa de NER automática, de modo que os resultados refletem a RE isoladamente. Além disso, o SemClinBr, apesar de multi-institucional e multiespecialidade, representa um conjunto específico de instituições e estilos de redação; a generalização para outros contextos clínicos e para outros espaços de relação deve ser feita com cautela. Por fim, o achado de empate é específico desta formulação de três classes e desta escala de modelo (</w:t>
      </w:r>
      <w:r>
        <w:rPr>
          <w:i/>
        </w:rPr>
        <w:t xml:space="preserve">base</w:t>
      </w:r>
      <w:r>
        <w:t xml:space="preserve">); não se pode excluir que o pré-treinamento clínico volte a importar em espaços de relação mais ricos, em modelos maiores ou em cenários com menos dados de ajuste.</w:t>
      </w:r>
    </w:p>
    <w:p>
      <w:pPr>
        <w:pStyle w:val="Heading2"/>
      </w:pPr>
      <w:bookmarkStart w:id="47" w:name="conclusão"/>
      <w:r>
        <w:t xml:space="preserve">7. Conclusão</w:t>
      </w:r>
      <w:bookmarkEnd w:id="47"/>
    </w:p>
    <w:p>
      <w:pPr>
        <w:pStyle w:val="FirstParagraph"/>
      </w:pPr>
      <w:r>
        <w:t xml:space="preserve">Este trabalho investigou, de forma controlada, se o pré-treinamento clínico importa para a extração de relações entre entidades clínicas em português sobre o corpus SemClinBr, no espaço de rótulos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,</w:t>
      </w:r>
      <w:r>
        <w:t xml:space="preserve"> </w:t>
      </w:r>
      <w:r>
        <w:rPr>
          <w:rStyle w:val="VerbatimChar"/>
        </w:rPr>
        <w:t xml:space="preserve">associated_with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no_relation</w:t>
      </w:r>
      <w:r>
        <w:t xml:space="preserve">. Comparando um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clínico (BioBERTpt) e um geral (BERTimbau) sob uma cadeia experimental idêntica que varia apenas o</w:t>
      </w:r>
      <w:r>
        <w:t xml:space="preserve"> </w:t>
      </w:r>
      <w:r>
        <w:rPr>
          <w:i/>
        </w:rPr>
        <w:t xml:space="preserve">checkpoint</w:t>
      </w:r>
      <w:r>
        <w:t xml:space="preserve"> </w:t>
      </w:r>
      <w:r>
        <w:t xml:space="preserve">de pré-treino, encontramos um empate estatístico: a diferença no F1 de</w:t>
      </w:r>
      <w:r>
        <w:t xml:space="preserve"> </w:t>
      </w:r>
      <w:r>
        <w:rPr>
          <w:rStyle w:val="VerbatimChar"/>
        </w:rPr>
        <w:t xml:space="preserve">negation_of</w:t>
      </w:r>
      <w:r>
        <w:t xml:space="preserve"> </w:t>
      </w:r>
      <w:r>
        <w:t xml:space="preserve">é de 0,010 e não é significativa (McNemar p = 0,18;</w:t>
      </w:r>
      <w:r>
        <w:t xml:space="preserve"> </w:t>
      </w:r>
      <w:r>
        <w:rPr>
          <w:i/>
        </w:rPr>
        <w:t xml:space="preserve">bootstrap</w:t>
      </w:r>
      <w:r>
        <w:t xml:space="preserve"> </w:t>
      </w:r>
      <w:r>
        <w:t xml:space="preserve">pareado IC95% [−0,047; +0,026]), e a variação entre sementes de um mesmo modelo a supera com folga. O</w:t>
      </w:r>
      <w:r>
        <w:t xml:space="preserve"> </w:t>
      </w:r>
      <w:r>
        <w:rPr>
          <w:i/>
        </w:rPr>
        <w:t xml:space="preserve">encoder</w:t>
      </w:r>
      <w:r>
        <w:t xml:space="preserve"> </w:t>
      </w:r>
      <w:r>
        <w:t xml:space="preserve">geral iguala o clínico com cerca de 60% dos parâmetros.</w:t>
      </w:r>
    </w:p>
    <w:p>
      <w:pPr>
        <w:pStyle w:val="BodyText"/>
      </w:pPr>
      <w:r>
        <w:t xml:space="preserve">A principal contribuição é, assim, metodológica e empírica: um protocolo reprodutível que isola o efeito do domínio de pré-treino na RE clínica em português, e a evidência de que, para esta tarefa, esse efeito não é decisivo. Como trabalhos futuros, prevê-se: estimar o desempenho de ambos os modelos sob múltiplas sementes de treino, para um intervalo de confiança da diferença mais estreito; estender o espaço de relações para além das três classes atuais; avaliar modelos maiores e</w:t>
      </w:r>
      <w:r>
        <w:t xml:space="preserve"> </w:t>
      </w:r>
      <w:r>
        <w:rPr>
          <w:i/>
        </w:rPr>
        <w:t xml:space="preserve">encoders</w:t>
      </w:r>
      <w:r>
        <w:t xml:space="preserve"> </w:t>
      </w:r>
      <w:r>
        <w:t xml:space="preserve">multilíngues (CONNEAU et al., 2020); e integrar uma etapa de NER automática, medindo a RE em um cenário fim a fim.</w:t>
      </w:r>
    </w:p>
    <w:p>
      <w:pPr>
        <w:pStyle w:val="Heading2"/>
      </w:pPr>
      <w:bookmarkStart w:id="48" w:name="referências"/>
      <w:r>
        <w:t xml:space="preserve">Referências</w:t>
      </w:r>
      <w:bookmarkEnd w:id="48"/>
    </w:p>
    <w:p>
      <w:pPr>
        <w:pStyle w:val="FirstParagraph"/>
      </w:pPr>
      <w:r>
        <w:t xml:space="preserve">BALDINI SOARES, L. et al. Matching the Blanks: Distributional Similarity for Relation Learning. In:</w:t>
      </w:r>
      <w:r>
        <w:t xml:space="preserve"> </w:t>
      </w:r>
      <w:r>
        <w:rPr>
          <w:i/>
        </w:rPr>
        <w:t xml:space="preserve">Proceedings of the 57th Annual Meeting of the Association for Computational Linguistics (ACL)</w:t>
      </w:r>
      <w:r>
        <w:t xml:space="preserve">. ACL, 2019. p. 2895–2905.</w:t>
      </w:r>
    </w:p>
    <w:p>
      <w:pPr>
        <w:pStyle w:val="BodyText"/>
      </w:pPr>
      <w:r>
        <w:t xml:space="preserve">CHAPMAN, W. W. et al. A simple algorithm for identifying negated findings and diseases in discharge summaries.</w:t>
      </w:r>
      <w:r>
        <w:t xml:space="preserve"> </w:t>
      </w:r>
      <w:r>
        <w:rPr>
          <w:i/>
        </w:rPr>
        <w:t xml:space="preserve">Journal of Biomedical Informatics</w:t>
      </w:r>
      <w:r>
        <w:t xml:space="preserve">, v. 34, n. 5, p. 301–310, 2001.</w:t>
      </w:r>
    </w:p>
    <w:p>
      <w:pPr>
        <w:pStyle w:val="BodyText"/>
      </w:pPr>
      <w:r>
        <w:t xml:space="preserve">CONNEAU, A. et al. Unsupervised cross-lingual representation learning at scale. In:</w:t>
      </w:r>
      <w:r>
        <w:t xml:space="preserve"> </w:t>
      </w:r>
      <w:r>
        <w:rPr>
          <w:i/>
        </w:rPr>
        <w:t xml:space="preserve">Proceedings of the 58th Annual Meeting of the Association for Computational Linguistics (ACL)</w:t>
      </w:r>
      <w:r>
        <w:t xml:space="preserve">. ACL, 2020. p. 8440–8451.</w:t>
      </w:r>
    </w:p>
    <w:p>
      <w:pPr>
        <w:pStyle w:val="BodyText"/>
      </w:pPr>
      <w:r>
        <w:t xml:space="preserve">DEVLIN, J. et al. BERT: Pre-training of deep bidirectional transformers for language understanding. In:</w:t>
      </w:r>
      <w:r>
        <w:t xml:space="preserve"> </w:t>
      </w:r>
      <w:r>
        <w:rPr>
          <w:i/>
        </w:rPr>
        <w:t xml:space="preserve">Proceedings of the 2019 Conference of the North American Chapter of the Association for Computational Linguistics (NAACL-HLT)</w:t>
      </w:r>
      <w:r>
        <w:t xml:space="preserve">. ACL, 2019. p. 4171–4186.</w:t>
      </w:r>
    </w:p>
    <w:p>
      <w:pPr>
        <w:pStyle w:val="BodyText"/>
      </w:pPr>
      <w:r>
        <w:t xml:space="preserve">DIETTERICH, T. G. Approximate statistical tests for comparing supervised classification learning algorithms.</w:t>
      </w:r>
      <w:r>
        <w:t xml:space="preserve"> </w:t>
      </w:r>
      <w:r>
        <w:rPr>
          <w:i/>
        </w:rPr>
        <w:t xml:space="preserve">Neural Computation</w:t>
      </w:r>
      <w:r>
        <w:t xml:space="preserve">, v. 10, n. 7, p. 1895–1923, 1998.</w:t>
      </w:r>
    </w:p>
    <w:p>
      <w:pPr>
        <w:pStyle w:val="BodyText"/>
      </w:pPr>
      <w:r>
        <w:t xml:space="preserve">FORMAN, G.; SCHOLZ, M. Apples-to-apples in cross-validation studies: pitfalls in classifier performance measurement.</w:t>
      </w:r>
      <w:r>
        <w:t xml:space="preserve"> </w:t>
      </w:r>
      <w:r>
        <w:rPr>
          <w:i/>
        </w:rPr>
        <w:t xml:space="preserve">ACM SIGKDD Explorations Newsletter</w:t>
      </w:r>
      <w:r>
        <w:t xml:space="preserve">, v. 12, n. 1, p. 49–57, 2010.</w:t>
      </w:r>
    </w:p>
    <w:p>
      <w:pPr>
        <w:pStyle w:val="BodyText"/>
      </w:pPr>
      <w:r>
        <w:t xml:space="preserve">LEE, J. et al. BioBERT: a pre-trained biomedical language representation model for biomedical text mining.</w:t>
      </w:r>
      <w:r>
        <w:t xml:space="preserve"> </w:t>
      </w:r>
      <w:r>
        <w:rPr>
          <w:i/>
        </w:rPr>
        <w:t xml:space="preserve">Bioinformatics</w:t>
      </w:r>
      <w:r>
        <w:t xml:space="preserve">, v. 36, n. 4, p. 1234–1240, 2020.</w:t>
      </w:r>
    </w:p>
    <w:p>
      <w:pPr>
        <w:pStyle w:val="BodyText"/>
      </w:pPr>
      <w:r>
        <w:t xml:space="preserve">McCRAY, A. T.; BURGUN, A.; BODENREIDER, O. Aggregating UMLS semantic types for reducing conceptual complexity.</w:t>
      </w:r>
      <w:r>
        <w:t xml:space="preserve"> </w:t>
      </w:r>
      <w:r>
        <w:rPr>
          <w:i/>
        </w:rPr>
        <w:t xml:space="preserve">Studies in Health Technology and Informatics</w:t>
      </w:r>
      <w:r>
        <w:t xml:space="preserve">, v. 84, p. 216–220, 2001.</w:t>
      </w:r>
    </w:p>
    <w:p>
      <w:pPr>
        <w:pStyle w:val="BodyText"/>
      </w:pPr>
      <w:r>
        <w:t xml:space="preserve">OLIVEIRA, L. E. S. et al. SemClinBr — a multi-institutional and multi-specialty semantically annotated corpus for Portuguese clinical NLP tasks.</w:t>
      </w:r>
      <w:r>
        <w:t xml:space="preserve"> </w:t>
      </w:r>
      <w:r>
        <w:rPr>
          <w:i/>
        </w:rPr>
        <w:t xml:space="preserve">Journal of Biomedical Semantics</w:t>
      </w:r>
      <w:r>
        <w:t xml:space="preserve">, v. 13, n. 1, p. 13, 2022.</w:t>
      </w:r>
    </w:p>
    <w:p>
      <w:pPr>
        <w:pStyle w:val="BodyText"/>
      </w:pPr>
      <w:r>
        <w:t xml:space="preserve">SCHNEIDER, E. T. R. et al. BioBERTpt — a Portuguese neural language model for clinical named entity recognition. In:</w:t>
      </w:r>
      <w:r>
        <w:t xml:space="preserve"> </w:t>
      </w:r>
      <w:r>
        <w:rPr>
          <w:i/>
        </w:rPr>
        <w:t xml:space="preserve">Proceedings of the 3rd Clinical Natural Language Processing Workshop</w:t>
      </w:r>
      <w:r>
        <w:t xml:space="preserve">. ACL, 2020. p. 65–72.</w:t>
      </w:r>
    </w:p>
    <w:p>
      <w:pPr>
        <w:pStyle w:val="BodyText"/>
      </w:pPr>
      <w:r>
        <w:t xml:space="preserve">SECHIDIS, K.; TSOUMAKAS, G.; VLAHAVAS, I. On the stratification of multi-label data. In:</w:t>
      </w:r>
      <w:r>
        <w:t xml:space="preserve"> </w:t>
      </w:r>
      <w:r>
        <w:rPr>
          <w:i/>
        </w:rPr>
        <w:t xml:space="preserve">Machine Learning and Knowledge Discovery in Databases (ECML PKDD 2011)</w:t>
      </w:r>
      <w:r>
        <w:t xml:space="preserve">. Springer, 2011. (LNCS, v. 6913), p. 145–158.</w:t>
      </w:r>
    </w:p>
    <w:p>
      <w:pPr>
        <w:pStyle w:val="BodyText"/>
      </w:pPr>
      <w:r>
        <w:t xml:space="preserve">SOUZA, F.; NOGUEIRA, R.; LOTUFO, R. BERTimbau: Pretrained BERT Models for Brazilian Portuguese. In:</w:t>
      </w:r>
      <w:r>
        <w:t xml:space="preserve"> </w:t>
      </w:r>
      <w:r>
        <w:rPr>
          <w:i/>
        </w:rPr>
        <w:t xml:space="preserve">Intelligent Systems (BRACIS 2020)</w:t>
      </w:r>
      <w:r>
        <w:t xml:space="preserve">. Springer, 2020. (LNCS, v. 12319), p. 403–417.</w:t>
      </w:r>
    </w:p>
    <w:p>
      <w:pPr>
        <w:pStyle w:val="BodyText"/>
      </w:pPr>
      <w:r>
        <w:t xml:space="preserve">UZUNER, Ö. et al. 2010 i2b2/VA challenge on concepts, assertions, and relations in clinical text.</w:t>
      </w:r>
      <w:r>
        <w:t xml:space="preserve"> </w:t>
      </w:r>
      <w:r>
        <w:rPr>
          <w:i/>
        </w:rPr>
        <w:t xml:space="preserve">Journal of the American Medical Informatics Association</w:t>
      </w:r>
      <w:r>
        <w:t xml:space="preserve">, v. 18, n. 5, p. 552–556, 2011.</w:t>
      </w:r>
    </w:p>
    <w:p>
      <w:pPr>
        <w:pStyle w:val="BodyText"/>
      </w:pPr>
      <w:r>
        <w:t xml:space="preserve">VASWANI, A. et al. Attention is all you need. In:</w:t>
      </w:r>
      <w:r>
        <w:t xml:space="preserve"> </w:t>
      </w:r>
      <w:r>
        <w:rPr>
          <w:i/>
        </w:rPr>
        <w:t xml:space="preserve">Advances in Neural Information Processing Systems (NeurIPS)</w:t>
      </w:r>
      <w:r>
        <w:t xml:space="preserve">. 2017. v. 30.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0" Target="media/rId40.png" /><Relationship Type="http://schemas.openxmlformats.org/officeDocument/2006/relationships/image" Id="rId38" Target="media/rId38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2026-06-23T22:06:04Z</dcterms:created>
  <dcterms:modified xsi:type="dcterms:W3CDTF">2026-06-23T22:06:04Z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