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3498" w14:textId="194096F0" w:rsidR="007833BF" w:rsidRPr="00A01CB5" w:rsidRDefault="007833BF" w:rsidP="00C80E5F">
      <w:pPr>
        <w:pStyle w:val="Heading1"/>
      </w:pPr>
      <w:r w:rsidRPr="00A01CB5">
        <w:t xml:space="preserve">Indutor para Redução de </w:t>
      </w:r>
      <w:r w:rsidRPr="00A01CB5">
        <w:rPr>
          <w:i/>
          <w:iCs/>
        </w:rPr>
        <w:t>Inrush</w:t>
      </w:r>
      <w:r w:rsidRPr="00A01CB5">
        <w:t xml:space="preserve"> em Banco de Capacitores</w:t>
      </w:r>
    </w:p>
    <w:p w14:paraId="79999A36" w14:textId="018000F7" w:rsidR="00D8212E" w:rsidRDefault="00D8212E" w:rsidP="0078175B">
      <w:r>
        <w:t>A energização de um banco de capacitores (</w:t>
      </w:r>
      <w:r w:rsidR="005C4467">
        <w:fldChar w:fldCharType="begin"/>
      </w:r>
      <w:r w:rsidR="005C4467">
        <w:instrText xml:space="preserve"> REF _Ref124084588 \h </w:instrText>
      </w:r>
      <w:r w:rsidR="005C4467">
        <w:fldChar w:fldCharType="separate"/>
      </w:r>
      <w:r w:rsidR="005C4467">
        <w:t xml:space="preserve">Figura </w:t>
      </w:r>
      <w:r w:rsidR="005C4467">
        <w:rPr>
          <w:noProof/>
        </w:rPr>
        <w:t>1</w:t>
      </w:r>
      <w:r w:rsidR="005C4467">
        <w:fldChar w:fldCharType="end"/>
      </w:r>
      <w:r>
        <w:t xml:space="preserve">) pelo fechamento de um disjuntor resultará em uma </w:t>
      </w:r>
      <w:r w:rsidR="006266C8">
        <w:t xml:space="preserve">alta </w:t>
      </w:r>
      <w:r>
        <w:t xml:space="preserve">corrente </w:t>
      </w:r>
      <w:r w:rsidR="006266C8">
        <w:t>de pico transitória (</w:t>
      </w:r>
      <w:r w:rsidR="006266C8">
        <w:fldChar w:fldCharType="begin"/>
      </w:r>
      <w:r w:rsidR="006266C8">
        <w:instrText xml:space="preserve"> REF _Ref124084789 \h </w:instrText>
      </w:r>
      <w:r w:rsidR="006266C8">
        <w:fldChar w:fldCharType="separate"/>
      </w:r>
      <w:r w:rsidR="006266C8">
        <w:t xml:space="preserve">Figura </w:t>
      </w:r>
      <w:r w:rsidR="006266C8">
        <w:rPr>
          <w:noProof/>
        </w:rPr>
        <w:t>2</w:t>
      </w:r>
      <w:r w:rsidR="006266C8">
        <w:fldChar w:fldCharType="end"/>
      </w:r>
      <w:r w:rsidR="006266C8">
        <w:t xml:space="preserve">), denominada </w:t>
      </w:r>
      <w:r w:rsidR="006266C8" w:rsidRPr="006266C8">
        <w:rPr>
          <w:i/>
          <w:iCs/>
        </w:rPr>
        <w:t>inr</w:t>
      </w:r>
      <w:r w:rsidR="00607EEA" w:rsidRPr="006266C8">
        <w:rPr>
          <w:i/>
          <w:iCs/>
        </w:rPr>
        <w:t>u</w:t>
      </w:r>
      <w:r w:rsidR="006266C8" w:rsidRPr="006266C8">
        <w:rPr>
          <w:i/>
          <w:iCs/>
        </w:rPr>
        <w:t>sh</w:t>
      </w:r>
      <w:r>
        <w:t>.</w:t>
      </w:r>
      <w:r w:rsidR="0078175B">
        <w:t xml:space="preserve"> </w:t>
      </w:r>
      <w:r>
        <w:t>A magnitude e frequência desta corrente de pico transitória é uma função da:</w:t>
      </w:r>
    </w:p>
    <w:p w14:paraId="5B1DFCEE" w14:textId="2552088D" w:rsidR="00D8212E" w:rsidRDefault="00D8212E" w:rsidP="001E2C38">
      <w:pPr>
        <w:pStyle w:val="ListParagraph"/>
        <w:ind w:left="993" w:hanging="426"/>
      </w:pPr>
      <w:r>
        <w:t>tensão aplicada (ponto na onda de tensão no fechamento);</w:t>
      </w:r>
    </w:p>
    <w:p w14:paraId="287D1552" w14:textId="571ECAC9" w:rsidR="00D8212E" w:rsidRDefault="00D8212E" w:rsidP="001E2C38">
      <w:pPr>
        <w:pStyle w:val="ListParagraph"/>
        <w:ind w:left="993" w:hanging="426"/>
      </w:pPr>
      <w:r>
        <w:t>capacitância equivalente do circuito;</w:t>
      </w:r>
    </w:p>
    <w:p w14:paraId="61A7C2FA" w14:textId="53565863" w:rsidR="00D8212E" w:rsidRDefault="00D8212E" w:rsidP="001E2C38">
      <w:pPr>
        <w:pStyle w:val="ListParagraph"/>
        <w:ind w:left="993" w:hanging="426"/>
      </w:pPr>
      <w:r>
        <w:t>indutância no circuito (quantidade e localização);</w:t>
      </w:r>
    </w:p>
    <w:p w14:paraId="7BEFE901" w14:textId="32899FDD" w:rsidR="00D8212E" w:rsidRDefault="00D8212E" w:rsidP="001E2C38">
      <w:pPr>
        <w:pStyle w:val="ListParagraph"/>
        <w:ind w:left="993" w:hanging="426"/>
      </w:pPr>
      <w:r>
        <w:t>carga no banco de capacitores no instante de fechamento;</w:t>
      </w:r>
    </w:p>
    <w:p w14:paraId="3DCAB2B1" w14:textId="7198A0AA" w:rsidR="00D8212E" w:rsidRDefault="00D8212E" w:rsidP="001E2C38">
      <w:pPr>
        <w:pStyle w:val="ListParagraph"/>
        <w:ind w:left="993" w:hanging="426"/>
      </w:pPr>
      <w:r>
        <w:t>qualquer amortecimento do circuito devido a resistores de fechamento ou outra resistência no circuito.</w:t>
      </w:r>
    </w:p>
    <w:p w14:paraId="4A8CEFC8" w14:textId="36CA9A83" w:rsidR="002621BB" w:rsidRDefault="002621BB" w:rsidP="002621BB">
      <w:pPr>
        <w:pStyle w:val="Heading2"/>
        <w:ind w:firstLine="0"/>
      </w:pPr>
      <w:r>
        <w:t>Considerações Iniciais</w:t>
      </w:r>
    </w:p>
    <w:p w14:paraId="01442CDA" w14:textId="005C1B77" w:rsidR="00482B53" w:rsidRDefault="00183305" w:rsidP="00482B53">
      <w:r>
        <w:t>A</w:t>
      </w:r>
      <w:r w:rsidR="00482B53">
        <w:t xml:space="preserve"> corrente inrush transitória não é um fator limitante em aplicações de bancos de capacitores isolados.</w:t>
      </w:r>
      <w:r>
        <w:t xml:space="preserve"> Contudo, quando os bancos de capacitores são comutados </w:t>
      </w:r>
      <w:proofErr w:type="spellStart"/>
      <w:r w:rsidRPr="006266C8">
        <w:rPr>
          <w:i/>
          <w:iCs/>
        </w:rPr>
        <w:t>back-to-back</w:t>
      </w:r>
      <w:proofErr w:type="spellEnd"/>
      <w:r>
        <w:t>, ou seja, quando um banco é acionado enquanto outro banco está conectado ao mesmo barramento, correntes transitórias de altas magnitude e frequência natural irão fluir entre o banco acionado e os que já estavam acionados.</w:t>
      </w:r>
    </w:p>
    <w:p w14:paraId="43513995" w14:textId="3ED7D483" w:rsidR="00A11DA2" w:rsidRDefault="005C3D41" w:rsidP="00202DB8">
      <w:pPr>
        <w:pStyle w:val="Figura"/>
      </w:pPr>
      <w:r>
        <w:rPr>
          <w:noProof/>
        </w:rPr>
        <w:drawing>
          <wp:inline distT="0" distB="0" distL="0" distR="0" wp14:anchorId="02F5FAF5" wp14:editId="332A31ED">
            <wp:extent cx="3790800" cy="2826000"/>
            <wp:effectExtent l="0" t="0" r="635" b="0"/>
            <wp:docPr id="1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44C3" w14:textId="6501A42C" w:rsidR="007630FD" w:rsidRDefault="00A11DA2" w:rsidP="00202DB8">
      <w:pPr>
        <w:pStyle w:val="Caption"/>
      </w:pPr>
      <w:bookmarkStart w:id="0" w:name="_Ref124084588"/>
      <w:r>
        <w:t>Fig</w:t>
      </w:r>
      <w:r w:rsidR="003B5CC6">
        <w:t>ura</w:t>
      </w:r>
      <w:r w:rsidR="00194CBC">
        <w:t xml:space="preserve"> </w:t>
      </w:r>
      <w:r w:rsidR="007B75E9">
        <w:fldChar w:fldCharType="begin"/>
      </w:r>
      <w:r w:rsidR="007B75E9">
        <w:instrText xml:space="preserve"> SEQ Figura \* ARABIC </w:instrText>
      </w:r>
      <w:r w:rsidR="007B75E9">
        <w:fldChar w:fldCharType="separate"/>
      </w:r>
      <w:r w:rsidR="00194CBC">
        <w:rPr>
          <w:noProof/>
        </w:rPr>
        <w:t>1</w:t>
      </w:r>
      <w:r w:rsidR="007B75E9">
        <w:rPr>
          <w:noProof/>
        </w:rPr>
        <w:fldChar w:fldCharType="end"/>
      </w:r>
      <w:bookmarkEnd w:id="0"/>
      <w:r w:rsidR="00CD3E0F">
        <w:t xml:space="preserve">: </w:t>
      </w:r>
      <w:r w:rsidRPr="00A11DA2">
        <w:t>Sistema de banco de capacitores</w:t>
      </w:r>
      <w:r w:rsidR="00CD3E0F" w:rsidRPr="00CD3E0F">
        <w:t>.</w:t>
      </w:r>
    </w:p>
    <w:p w14:paraId="504021D5" w14:textId="7473E8DE" w:rsidR="003D7543" w:rsidRDefault="00482B53" w:rsidP="00482B53">
      <w:r>
        <w:t>Essa corrente oscilatória é limitada apenas pela impedância do banco de capacitores e pelo circuito entre o banco ou bancos energizados e o banco comutado (Banco #0)</w:t>
      </w:r>
      <w:r w:rsidR="006266C8">
        <w:t>, que</w:t>
      </w:r>
      <w:r>
        <w:t xml:space="preserve"> geralmente decai para zero em uma fração de um ciclo da frequência do sistema. No caso de comutação </w:t>
      </w:r>
      <w:proofErr w:type="spellStart"/>
      <w:r w:rsidR="00607EEA" w:rsidRPr="006266C8">
        <w:rPr>
          <w:i/>
          <w:iCs/>
        </w:rPr>
        <w:t>back-to-back</w:t>
      </w:r>
      <w:proofErr w:type="spellEnd"/>
      <w:r>
        <w:t>, o componente fornecido pela fonte está em uma frequência mais baixa</w:t>
      </w:r>
      <w:r w:rsidR="00FD6047">
        <w:t xml:space="preserve"> (60 Hz)</w:t>
      </w:r>
      <w:r>
        <w:t xml:space="preserve"> e tão pequena</w:t>
      </w:r>
      <w:r w:rsidR="00FD6047">
        <w:t xml:space="preserve"> quando comparada a corrente </w:t>
      </w:r>
      <w:r w:rsidR="00FD6047" w:rsidRPr="00607EEA">
        <w:rPr>
          <w:i/>
          <w:iCs/>
        </w:rPr>
        <w:t>inrush</w:t>
      </w:r>
      <w:r w:rsidR="00607EEA">
        <w:t>,</w:t>
      </w:r>
      <w:r>
        <w:t xml:space="preserve"> que pode ser desprezada</w:t>
      </w:r>
      <w:r w:rsidR="004D7A52">
        <w:t xml:space="preserve"> [</w:t>
      </w:r>
      <w:hyperlink r:id="rId9" w:history="1">
        <w:r w:rsidR="004D7A52" w:rsidRPr="009430BE">
          <w:rPr>
            <w:rStyle w:val="Hyperlink"/>
          </w:rPr>
          <w:t>ANSI/IEEE C37.012-1979</w:t>
        </w:r>
      </w:hyperlink>
      <w:r w:rsidR="004D7A52">
        <w:t>]</w:t>
      </w:r>
      <w:r>
        <w:t>.</w:t>
      </w:r>
    </w:p>
    <w:p w14:paraId="1DB97FD1" w14:textId="60117540" w:rsidR="007E3DDD" w:rsidRDefault="007E3DDD" w:rsidP="002621BB">
      <w:pPr>
        <w:pStyle w:val="Heading2"/>
        <w:ind w:firstLine="0"/>
      </w:pPr>
      <w:r>
        <w:lastRenderedPageBreak/>
        <w:t>Resultados</w:t>
      </w:r>
    </w:p>
    <w:p w14:paraId="47E452FC" w14:textId="65113B95" w:rsidR="00A11DA2" w:rsidRDefault="00A11DA2" w:rsidP="00A11DA2">
      <w:pPr>
        <w:pStyle w:val="Figura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202936" cy="2441448"/>
            <wp:docPr id="1002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nt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44144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255BEB9" w14:textId="26A521D2" w:rsidR="00A11DA2" w:rsidRDefault="003B5CC6" w:rsidP="00A11DA2">
      <w:pPr>
        <w:pStyle w:val="Caption"/>
      </w:pPr>
      <w:bookmarkStart w:id="1" w:name="_Ref124084789"/>
      <w:r>
        <w:t>Figura</w:t>
      </w:r>
      <w:r w:rsidR="00A11DA2">
        <w:t xml:space="preserve"> </w:t>
      </w:r>
      <w:r w:rsidR="007B75E9">
        <w:fldChar w:fldCharType="begin"/>
      </w:r>
      <w:r w:rsidR="007B75E9">
        <w:instrText xml:space="preserve"> SEQ Figura \* ARABIC </w:instrText>
      </w:r>
      <w:r w:rsidR="007B75E9">
        <w:fldChar w:fldCharType="separate"/>
      </w:r>
      <w:r>
        <w:rPr>
          <w:noProof/>
        </w:rPr>
        <w:t>2</w:t>
      </w:r>
      <w:r w:rsidR="007B75E9">
        <w:rPr>
          <w:noProof/>
        </w:rPr>
        <w:fldChar w:fldCharType="end"/>
      </w:r>
      <w:bookmarkEnd w:id="1"/>
      <w:r w:rsidR="00A11DA2">
        <w:t xml:space="preserve">: </w:t>
      </w:r>
      <w:r w:rsidR="00A11DA2" w:rsidRPr="00CD3E0F">
        <w:t>Corrente instantânea no banco de capacitores acionado em um ciclo da frequência fundamental.</w:t>
      </w:r>
    </w:p>
    <w:p w14:paraId="376102C4" w14:textId="4FC5F7F4" w:rsidR="00D8212E" w:rsidRDefault="00836897" w:rsidP="00A11DA2">
      <w:r>
        <w:t xml:space="preserve">São os valores obtidos com </w:t>
      </w:r>
      <w:r w:rsidR="007C39F5">
        <w:t>o reator</w:t>
      </w:r>
      <w:r>
        <w:t xml:space="preserve"> escolhid</w:t>
      </w:r>
      <w:r w:rsidR="007C39F5">
        <w:t>o</w:t>
      </w:r>
      <w:r w:rsidR="0078175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reator</m:t>
            </m:r>
          </m:sub>
        </m:sSub>
        <m:r>
          <w:rPr>
            <w:rFonts w:ascii="Cambria Math" w:hAnsi="Cambria Math"/>
          </w:rPr>
          <m:t>=</m:t>
        </m:r>
      </m:oMath>
      <w:r w:rsidR="0078175B">
        <w:t xml:space="preserve">100u</w:t>
      </w:r>
      <w:r w:rsidR="009951FF">
        <w:t>H)</w:t>
      </w:r>
      <w:r w:rsidR="0078175B">
        <w:t>:</w:t>
      </w:r>
    </w:p>
    <w:p w14:paraId="6967DB2B" w14:textId="4A6F88BA" w:rsidR="00183305" w:rsidRDefault="00B11799" w:rsidP="00183305">
      <w:pPr>
        <w:pStyle w:val="ListParagraph"/>
        <w:ind w:left="993" w:hanging="426"/>
      </w:pPr>
      <w:r>
        <w:t xml:space="preserve">Corrente de pico: 14.93k</w:t>
      </w:r>
      <w:r w:rsidR="007F7D42">
        <w:t>A</w:t>
      </w:r>
      <w:r w:rsidR="00183305">
        <w:t>;</w:t>
      </w:r>
    </w:p>
    <w:p w14:paraId="3D8D5AE4" w14:textId="46883D1C" w:rsidR="00047AF3" w:rsidRPr="00833431" w:rsidRDefault="00434067" w:rsidP="00183305">
      <w:pPr>
        <w:pStyle w:val="ListParagraph"/>
        <w:ind w:left="993" w:hanging="426"/>
      </w:pPr>
      <w:r>
        <w:rPr>
          <w:rFonts w:ascii="Source Sans Pro" w:hAnsi="Source Sans Pro"/>
          <w:color w:val="31333F"/>
          <w:shd w:val="clear" w:color="auto" w:fill="FFFFFF"/>
        </w:rPr>
        <w:t xml:space="preserve">Frequência</w:t>
      </w:r>
      <w:r w:rsidR="00833431">
        <w:rPr>
          <w:rFonts w:ascii="Source Sans Pro" w:hAnsi="Source Sans Pro"/>
          <w:color w:val="31333F"/>
          <w:shd w:val="clear" w:color="auto" w:fill="FFFFFF"/>
        </w:rPr>
        <w:t xml:space="preserve"> de Oscilação: 2.01k</w:t>
      </w:r>
      <w:r>
        <w:rPr>
          <w:rFonts w:ascii="Source Sans Pro" w:hAnsi="Source Sans Pro"/>
          <w:color w:val="31333F"/>
          <w:shd w:val="clear" w:color="auto" w:fill="FFFFFF"/>
        </w:rPr>
        <w:t>Hz</w:t>
      </w:r>
    </w:p>
    <w:p w14:paraId="7E6A38AD" w14:textId="6EBD2024" w:rsidR="00833431" w:rsidRDefault="006F303C" w:rsidP="00183305">
      <w:pPr>
        <w:pStyle w:val="ListParagraph"/>
        <w:ind w:left="993" w:hanging="426"/>
      </w:pPr>
      <w:r>
        <w:rPr>
          <w:rFonts w:ascii="Source Sans Pro" w:hAnsi="Source Sans Pro"/>
          <w:color w:val="31333F"/>
          <w:shd w:val="clear" w:color="auto" w:fill="FFFFFF"/>
        </w:rPr>
        <w:t xml:space="preserve">Corrente inrush / Corrente nominal: 35</w:t>
      </w:r>
    </w:p>
    <w:p w14:paraId="0C89D718" w14:textId="53CEE0AD" w:rsidR="0078175B" w:rsidRDefault="0078175B" w:rsidP="00183305"/>
    <w:p w14:paraId="428E41A9" w14:textId="238416A1" w:rsidR="006F303C" w:rsidRDefault="008F39B2" w:rsidP="008F39B2">
      <w:pPr>
        <w:pStyle w:val="Heading2"/>
        <w:ind w:firstLine="0"/>
      </w:pPr>
      <w:r w:rsidRPr="008F39B2">
        <w:t xml:space="preserve">Conclusão</w:t>
      </w:r>
    </w:p>
    <w:p w14:paraId="1D64E320" w14:textId="5F965484" w:rsidR="008F39B2" w:rsidRDefault="00CB6EEC" w:rsidP="008F39B2">
      <w:pPr>
        <w:rPr>
          <w:rFonts w:eastAsiaTheme="minorEastAsia"/>
        </w:rPr>
      </w:pPr>
      <w:r>
        <w:t xml:space="preserve">Reator adequado</w:t>
      </w:r>
      <w:r w:rsidR="006D4A77">
        <w:t xml:space="preserve">, pois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inrush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nominal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F23C47">
        <w:rPr>
          <w:rFonts w:eastAsiaTheme="minorEastAsia"/>
        </w:rPr>
        <w:t xml:space="preserve"> </w:t>
      </w:r>
      <w:r w:rsidR="004B4F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35.21</w:t>
      </w:r>
      <w:r w:rsidR="004B4F84">
        <w:rPr>
          <w:rFonts w:eastAsiaTheme="minorEastAsia"/>
        </w:rPr>
        <w:t xml:space="preserve"> </w:t>
      </w:r>
      <w:r w:rsidR="00F23C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 w:rsidR="00F23C47">
        <w:rPr>
          <w:rFonts w:eastAsiaTheme="minorEastAsia"/>
        </w:rPr>
        <w:t xml:space="preserve"> 100.</w:t>
      </w:r>
    </w:p>
    <w:p w14:paraId="10B723D4" w14:textId="77777777" w:rsidR="00191943" w:rsidRDefault="00191943" w:rsidP="008F39B2">
      <w:pPr>
        <w:rPr>
          <w:rFonts w:eastAsiaTheme="minorEastAsia"/>
        </w:rPr>
      </w:pPr>
    </w:p>
    <w:p w14:paraId="62D66419" w14:textId="55CB0280" w:rsidR="00685B7E" w:rsidRDefault="00685B7E" w:rsidP="008F39B2">
      <w:pPr>
        <w:rPr>
          <w:rFonts w:eastAsiaTheme="minorEastAsia"/>
        </w:rPr>
      </w:pPr>
    </w:p>
    <w:p w14:paraId="682BC629" w14:textId="77777777" w:rsidR="00685B7E" w:rsidRPr="008F39B2" w:rsidRDefault="00685B7E" w:rsidP="008F39B2"/>
    <w:sectPr w:rsidR="00685B7E" w:rsidRPr="008F39B2" w:rsidSect="00B84A4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A34A" w14:textId="77777777" w:rsidR="00E4120B" w:rsidRDefault="00E4120B" w:rsidP="00AA619C">
      <w:pPr>
        <w:spacing w:before="0" w:after="0" w:line="240" w:lineRule="auto"/>
      </w:pPr>
      <w:r>
        <w:separator/>
      </w:r>
    </w:p>
  </w:endnote>
  <w:endnote w:type="continuationSeparator" w:id="0">
    <w:p w14:paraId="427245EA" w14:textId="77777777" w:rsidR="00E4120B" w:rsidRDefault="00E4120B" w:rsidP="00AA61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FE75" w14:textId="03986DF7" w:rsidR="000E5C8C" w:rsidRDefault="00A354C9" w:rsidP="000E5C8C">
    <w:pPr>
      <w:pStyle w:val="Footer"/>
      <w:jc w:val="right"/>
    </w:pPr>
    <w:r>
      <w:t xml:space="preserve">09-Jan-2023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5B6A" w14:textId="77777777" w:rsidR="00E4120B" w:rsidRDefault="00E4120B" w:rsidP="00AA619C">
      <w:pPr>
        <w:spacing w:before="0" w:after="0" w:line="240" w:lineRule="auto"/>
      </w:pPr>
      <w:r>
        <w:separator/>
      </w:r>
    </w:p>
  </w:footnote>
  <w:footnote w:type="continuationSeparator" w:id="0">
    <w:p w14:paraId="6763E3F4" w14:textId="77777777" w:rsidR="00E4120B" w:rsidRDefault="00E4120B" w:rsidP="00AA61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363C" w14:textId="77777777" w:rsidR="003D7543" w:rsidRDefault="00AA619C" w:rsidP="007F2DBE">
    <w:pPr>
      <w:ind w:firstLine="0"/>
    </w:pPr>
    <w:r>
      <w:rPr>
        <w:noProof/>
      </w:rPr>
      <w:drawing>
        <wp:inline distT="0" distB="0" distL="0" distR="0" wp14:anchorId="590FA248" wp14:editId="7C2C838A">
          <wp:extent cx="993903" cy="417558"/>
          <wp:effectExtent l="0" t="0" r="0" b="1905"/>
          <wp:docPr id="2" name="Picture 2" descr="DAX Energy | Soluções em sistemas e equipamentos média e alta tens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AX Energy | Soluções em sistemas e equipamentos média e alta tens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276" cy="426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D7543" w:rsidRPr="003D754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ABF"/>
    <w:multiLevelType w:val="hybridMultilevel"/>
    <w:tmpl w:val="CE22A9CE"/>
    <w:lvl w:ilvl="0" w:tplc="EE26CFC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433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05"/>
    <w:rsid w:val="00047AF3"/>
    <w:rsid w:val="000E5C8C"/>
    <w:rsid w:val="00153405"/>
    <w:rsid w:val="001724CE"/>
    <w:rsid w:val="00183305"/>
    <w:rsid w:val="00191943"/>
    <w:rsid w:val="00194CBC"/>
    <w:rsid w:val="001E2C38"/>
    <w:rsid w:val="001E5212"/>
    <w:rsid w:val="001E63B6"/>
    <w:rsid w:val="00202DB8"/>
    <w:rsid w:val="00217542"/>
    <w:rsid w:val="00246A44"/>
    <w:rsid w:val="002621BB"/>
    <w:rsid w:val="00335167"/>
    <w:rsid w:val="003B5CC6"/>
    <w:rsid w:val="003D0058"/>
    <w:rsid w:val="003D7543"/>
    <w:rsid w:val="00434067"/>
    <w:rsid w:val="00482B53"/>
    <w:rsid w:val="00492416"/>
    <w:rsid w:val="004B4F84"/>
    <w:rsid w:val="004D7A52"/>
    <w:rsid w:val="005C3D41"/>
    <w:rsid w:val="005C4467"/>
    <w:rsid w:val="00607EEA"/>
    <w:rsid w:val="006266C8"/>
    <w:rsid w:val="00651339"/>
    <w:rsid w:val="00685B7E"/>
    <w:rsid w:val="0068675B"/>
    <w:rsid w:val="006D4A77"/>
    <w:rsid w:val="006E0B7A"/>
    <w:rsid w:val="006F303C"/>
    <w:rsid w:val="0071075B"/>
    <w:rsid w:val="007361D3"/>
    <w:rsid w:val="007630FD"/>
    <w:rsid w:val="0078175B"/>
    <w:rsid w:val="007833BF"/>
    <w:rsid w:val="007B75E9"/>
    <w:rsid w:val="007C39F5"/>
    <w:rsid w:val="007E3DDD"/>
    <w:rsid w:val="007F2DBE"/>
    <w:rsid w:val="007F7D42"/>
    <w:rsid w:val="00833431"/>
    <w:rsid w:val="00836897"/>
    <w:rsid w:val="008A3C94"/>
    <w:rsid w:val="008F39B2"/>
    <w:rsid w:val="009430BE"/>
    <w:rsid w:val="009951FF"/>
    <w:rsid w:val="009A2F3A"/>
    <w:rsid w:val="00A01CB5"/>
    <w:rsid w:val="00A11DA2"/>
    <w:rsid w:val="00A354C9"/>
    <w:rsid w:val="00A41A5B"/>
    <w:rsid w:val="00AA619C"/>
    <w:rsid w:val="00B11799"/>
    <w:rsid w:val="00B84A44"/>
    <w:rsid w:val="00C44D01"/>
    <w:rsid w:val="00C46B47"/>
    <w:rsid w:val="00C80E5F"/>
    <w:rsid w:val="00CB6EEC"/>
    <w:rsid w:val="00CD3E0F"/>
    <w:rsid w:val="00D8212E"/>
    <w:rsid w:val="00DC230B"/>
    <w:rsid w:val="00E4120B"/>
    <w:rsid w:val="00F23C47"/>
    <w:rsid w:val="00F702D0"/>
    <w:rsid w:val="00F726A9"/>
    <w:rsid w:val="00F90F4D"/>
    <w:rsid w:val="00F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671E"/>
  <w15:chartTrackingRefBased/>
  <w15:docId w15:val="{134381D0-B19B-4F37-B802-0B667CE6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B8"/>
    <w:pPr>
      <w:spacing w:before="120" w:after="120" w:line="300" w:lineRule="auto"/>
      <w:ind w:firstLine="567"/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C80E5F"/>
    <w:pPr>
      <w:keepNext/>
      <w:keepLines/>
      <w:spacing w:before="240" w:after="240" w:line="30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9C"/>
  </w:style>
  <w:style w:type="paragraph" w:styleId="Footer">
    <w:name w:val="footer"/>
    <w:basedOn w:val="Normal"/>
    <w:link w:val="FooterChar"/>
    <w:uiPriority w:val="99"/>
    <w:unhideWhenUsed/>
    <w:rsid w:val="00A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9C"/>
  </w:style>
  <w:style w:type="paragraph" w:styleId="Title">
    <w:name w:val="Title"/>
    <w:basedOn w:val="Normal"/>
    <w:next w:val="Normal"/>
    <w:link w:val="TitleChar"/>
    <w:uiPriority w:val="10"/>
    <w:qFormat/>
    <w:rsid w:val="00F70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autoRedefine/>
    <w:uiPriority w:val="34"/>
    <w:qFormat/>
    <w:rsid w:val="001E2C38"/>
    <w:pPr>
      <w:numPr>
        <w:numId w:val="1"/>
      </w:numPr>
      <w:ind w:left="1134" w:hanging="425"/>
      <w:contextualSpacing/>
    </w:pPr>
  </w:style>
  <w:style w:type="paragraph" w:styleId="Caption">
    <w:name w:val="caption"/>
    <w:next w:val="Normal"/>
    <w:autoRedefine/>
    <w:uiPriority w:val="35"/>
    <w:unhideWhenUsed/>
    <w:qFormat/>
    <w:rsid w:val="00202DB8"/>
    <w:pPr>
      <w:keepLines/>
      <w:spacing w:after="36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a">
    <w:name w:val="Figura"/>
    <w:qFormat/>
    <w:rsid w:val="00202DB8"/>
    <w:pPr>
      <w:keepNext/>
      <w:spacing w:before="120" w:after="0" w:line="300" w:lineRule="auto"/>
      <w:jc w:val="center"/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01C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95" w:firstLine="0"/>
      <w:jc w:val="center"/>
    </w:pPr>
    <w:rPr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B5"/>
    <w:rPr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3C4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7035261" TargetMode="External"/><Relationship Id="rId14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5667-C3CD-4F78-BB8B-B13F0729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338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Alfredo Hafner</dc:creator>
  <cp:keywords/>
  <dc:description/>
  <cp:lastModifiedBy>Angelo Alfredo Hafner</cp:lastModifiedBy>
  <cp:revision>65</cp:revision>
  <dcterms:created xsi:type="dcterms:W3CDTF">2023-01-08T17:49:00Z</dcterms:created>
  <dcterms:modified xsi:type="dcterms:W3CDTF">2023-01-09T14:35:00Z</dcterms:modified>
  <dc:identifier/>
  <dc:language/>
</cp:coreProperties>
</file>