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PO-2026-0011</w:t>
            </w:r>
          </w:p>
        </w:tc>
        <w:tc>
          <w:tcPr>
            <w:tcW w:w="2880" w:type="dxa"/>
          </w:tcPr>
          <w:p>
            <w:r>
              <w:t>2026-05-15</w:t>
            </w:r>
          </w:p>
        </w:tc>
        <w:tc>
          <w:tcPr>
            <w:tcW w:w="2880" w:type="dxa"/>
          </w:tcPr>
          <w:p>
            <w:r>
              <w:t>2026-05-22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24,990.00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24,990.00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24,990.00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52475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left"/>
              <w:spacing w:after="70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r xmlns:w="http://schemas.openxmlformats.org/wordprocessingml/2006/main">
        <w:drawing>
          <wp:anchor xmlns:wp="http://schemas.openxmlformats.org/drawingml/2006/wordprocessingDrawing" simplePos="0" relativeHeight="251658240" behindDoc="0" locked="0" layoutInCell="1" allowOverlap="1" distT="0" distB="0" distL="0" distR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123950" cy="962025"/>
            <wp:effectExtent l="0" t="0" r="0" b="0"/>
            <wp:wrapNone/>
            <wp:docPr id="103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11-warehouse-1778808408919.png"/><Relationship Id="rId9" Type="http://schemas.openxmlformats.org/officeDocument/2006/relationships/image" Target="media/po-2026-0011-owner-17788084089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