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PO-2026-0012</w:t>
            </w:r>
          </w:p>
        </w:tc>
        <w:tc>
          <w:tcPr>
            <w:tcW w:w="2880" w:type="dxa"/>
          </w:tcPr>
          <w:p>
            <w:r>
              <w:t>2026-05-15</w:t>
            </w:r>
          </w:p>
        </w:tc>
        <w:tc>
          <w:tcPr>
            <w:tcW w:w="2880" w:type="dxa"/>
          </w:tcPr>
          <w:p>
            <w:r>
              <w:t>2026-05-22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left"/>
              <w:spacing w:after="70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pPr>
        <w:jc w:val="center"/>
        <w:spacing w:after="70"/>
      </w:pPr>
      <w:r>
        <w:t/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2-warehouse-17788089992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