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PO-2026-0014</w:t>
            </w:r>
          </w:p>
        </w:tc>
        <w:tc>
          <w:tcPr>
            <w:tcW w:w="2880" w:type="dxa"/>
          </w:tcPr>
          <w:p>
            <w:r>
              <w:t>2026-05-17</w:t>
            </w:r>
          </w:p>
        </w:tc>
        <w:tc>
          <w:tcPr>
            <w:tcW w:w="2880" w:type="dxa"/>
          </w:tcPr>
          <w:p>
            <w:r>
              <w:t>2026-05-24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Dranix Distributor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Dane Ralph Nacario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Lucimba Pardo, Cebu city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09324131383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1,800.00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36,000.00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36,000.00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36,000.00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5100"/>
      </w:tblGrid>
      <w:tr>
        <w:tc>
          <w:tcPr>
            <w:tcW w:w="43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5100" w:type="dxa"/>
          </w:tcPr>
          <w:p>
            <w:pPr>
              <w:jc w:val="center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3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876300" cy="752475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876300" cy="733425"/>
                  <wp:effectExtent l="0" t="0" r="0" b="0"/>
                  <wp:wrapNone/>
                  <wp:docPr id="102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c>
          <w:tcPr>
            <w:tcW w:w="4300" w:type="dxa"/>
          </w:tcPr>
          <w:p>
            <w:pPr>
              <w:spacing w:before="0"/>
            </w:pPr>
            <w:r>
              <w:rPr>
                <w:u w:val="single"/>
              </w:rPr>
              <w:t>Lumiere Manager</w:t>
            </w:r>
          </w:p>
        </w:tc>
        <w:tc>
          <w:tcPr>
            <w:tcW w:w="5100" w:type="dxa"/>
          </w:tcPr>
          <w:p>
            <w:pPr>
              <w:jc w:val="center"/>
              <w:spacing w:before="0"/>
            </w:pPr>
            <w:r>
              <w:rPr>
                <w:u w:val="single"/>
              </w:rPr>
              <w:t>Dane Ralph Nacario</w:t>
            </w:r>
          </w:p>
        </w:tc>
      </w:tr>
      <w:tr>
        <w:tc>
          <w:tcPr>
            <w:tcW w:w="4300" w:type="dxa"/>
          </w:tcPr>
          <w:p>
            <w:r>
              <w:t>Warehouse Manager</w:t>
            </w:r>
          </w:p>
        </w:tc>
        <w:tc>
          <w:tcPr>
            <w:tcW w:w="5100" w:type="dxa"/>
          </w:tcPr>
          <w:p>
            <w:pPr>
              <w:jc w:val="center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10"/>
      </w:pPr>
      <w:r>
        <w:t/>
      </w:r>
    </w:p>
    <w:p>
      <w:r xmlns:w="http://schemas.openxmlformats.org/wordprocessingml/2006/main">
        <w:drawing>
          <wp:anchor xmlns:wp="http://schemas.openxmlformats.org/drawingml/2006/wordprocessingDrawing" simplePos="0" relativeHeight="251658240" behindDoc="0" locked="0" layoutInCell="1" allowOverlap="1" distT="0" distB="0" distL="0" distR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123950" cy="962025"/>
            <wp:effectExtent l="0" t="0" r="0" b="0"/>
            <wp:wrapNone/>
            <wp:docPr id="103" nam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spacing w:before="0"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14-warehouse-1779032971259.png"/><Relationship Id="rId9" Type="http://schemas.openxmlformats.org/officeDocument/2006/relationships/image" Target="media/po-2026-0014-supplier-1779032971259.png"/><Relationship Id="rId10" Type="http://schemas.openxmlformats.org/officeDocument/2006/relationships/image" Target="media/po-2026-0014-owner-17790329712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