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8</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los routers</w:t>
            </w:r>
            <w:r>
              <w:tab/>
            </w:r>
            <w:r>
              <w:t>13</w:t>
            </w:r>
          </w:hyperlink>
        </w:p>
        <w:p>
          <w:pPr>
            <w:pStyle w:val="TOC2"/>
            <w:tabs>
              <w:tab w:val="right" w:leader="dot" w:pos="9350"/>
            </w:tabs>
            <w:spacing w:line="360" w:lineRule="auto"/>
          </w:pPr>
          <w:hyperlink w:anchor="_Toc11" w:history="1">
            <w:r>
              <w:t xml:space="preserve">Paso 3. Conectar los cables</w:t>
            </w:r>
            <w:r>
              <w:tab/>
            </w:r>
            <w:r>
              <w:t>14</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13" w:history="1">
            <w:r>
              <w:t xml:space="preserve">Paso 5. Crear las VLAN en los switches</w:t>
            </w:r>
            <w:r>
              <w:tab/>
            </w:r>
            <w:r>
              <w:t>15</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20</w:t>
            </w:r>
          </w:hyperlink>
        </w:p>
        <w:p>
          <w:pPr>
            <w:pStyle w:val="TOC2"/>
            <w:tabs>
              <w:tab w:val="right" w:leader="dot" w:pos="9350"/>
            </w:tabs>
            <w:spacing w:line="360" w:lineRule="auto"/>
          </w:pPr>
          <w:hyperlink w:anchor="_Toc16" w:history="1">
            <w:r>
              <w:t xml:space="preserve">Paso 8. Enrutamiento con rutas estáticas</w:t>
            </w:r>
            <w:r>
              <w:tab/>
            </w:r>
            <w:r>
              <w:t>22</w:t>
            </w:r>
          </w:hyperlink>
        </w:p>
        <w:p>
          <w:pPr>
            <w:pStyle w:val="TOC2"/>
            <w:tabs>
              <w:tab w:val="right" w:leader="dot" w:pos="9350"/>
            </w:tabs>
            <w:spacing w:line="360" w:lineRule="auto"/>
          </w:pPr>
          <w:hyperlink w:anchor="_Toc17" w:history="1">
            <w:r>
              <w:t xml:space="preserve">Paso 9. DHCP centralizado en R-CRG</w:t>
            </w:r>
            <w:r>
              <w:tab/>
            </w:r>
            <w:r>
              <w:t>24</w:t>
            </w:r>
          </w:hyperlink>
        </w:p>
        <w:p>
          <w:pPr>
            <w:pStyle w:val="TOC2"/>
            <w:tabs>
              <w:tab w:val="right" w:leader="dot" w:pos="9350"/>
            </w:tabs>
            <w:spacing w:line="360" w:lineRule="auto"/>
          </w:pPr>
          <w:hyperlink w:anchor="_Toc18" w:history="1">
            <w:r>
              <w:t xml:space="preserve">Paso 10. IP fija de los servidores</w:t>
            </w:r>
            <w:r>
              <w:tab/>
            </w:r>
            <w:r>
              <w:t>25</w:t>
            </w:r>
          </w:hyperlink>
        </w:p>
        <w:p>
          <w:pPr>
            <w:pStyle w:val="TOC2"/>
            <w:tabs>
              <w:tab w:val="right" w:leader="dot" w:pos="9350"/>
            </w:tabs>
            <w:spacing w:line="360" w:lineRule="auto"/>
          </w:pPr>
          <w:hyperlink w:anchor="_Toc19" w:history="1">
            <w:r>
              <w:t xml:space="preserve">Paso 11. La red externa (ISP) y el NAT</w:t>
            </w:r>
            <w:r>
              <w:tab/>
            </w:r>
            <w:r>
              <w:t>25</w:t>
            </w:r>
          </w:hyperlink>
        </w:p>
        <w:p>
          <w:pPr>
            <w:pStyle w:val="TOC2"/>
            <w:tabs>
              <w:tab w:val="right" w:leader="dot" w:pos="9350"/>
            </w:tabs>
            <w:spacing w:line="360" w:lineRule="auto"/>
          </w:pPr>
          <w:hyperlink w:anchor="_Toc21" w:history="1">
            <w:r>
              <w:t xml:space="preserve">Paso 12. Poner las PC en DHCP</w:t>
            </w:r>
            <w:r>
              <w:tab/>
            </w:r>
            <w:r>
              <w:t>26</w:t>
            </w:r>
          </w:hyperlink>
        </w:p>
        <w:p>
          <w:pPr>
            <w:pStyle w:val="TOC2"/>
            <w:tabs>
              <w:tab w:val="right" w:leader="dot" w:pos="9350"/>
            </w:tabs>
            <w:spacing w:line="360" w:lineRule="auto"/>
          </w:pPr>
          <w:hyperlink w:anchor="_Toc22" w:history="1">
            <w:r>
              <w:t xml:space="preserve">Paso 13. Guardar</w:t>
            </w:r>
            <w:r>
              <w:tab/>
            </w:r>
            <w:r>
              <w:t>27</w:t>
            </w:r>
          </w:hyperlink>
        </w:p>
        <w:p>
          <w:pPr>
            <w:pStyle w:val="TOC1"/>
            <w:tabs>
              <w:tab w:val="right" w:leader="dot" w:pos="9350"/>
            </w:tabs>
            <w:spacing w:line="360" w:lineRule="auto"/>
          </w:pPr>
          <w:hyperlink w:anchor="_Toc23" w:history="1">
            <w:r>
              <w:t xml:space="preserve">Pruebas y resultados</w:t>
            </w:r>
            <w:r>
              <w:tab/>
            </w:r>
            <w:r>
              <w:t>27</w:t>
            </w:r>
          </w:hyperlink>
        </w:p>
        <w:p>
          <w:pPr>
            <w:pStyle w:val="TOC1"/>
            <w:tabs>
              <w:tab w:val="right" w:leader="dot" w:pos="9350"/>
            </w:tabs>
            <w:spacing w:line="360" w:lineRule="auto"/>
          </w:pPr>
          <w:hyperlink w:anchor="_Toc24" w:history="1">
            <w:r>
              <w:t xml:space="preserve">Problemas comunes y cómo arreglarlos</w:t>
            </w:r>
            <w:r>
              <w:tab/>
            </w:r>
            <w:r>
              <w:t>31</w:t>
            </w:r>
          </w:hyperlink>
        </w:p>
        <w:p>
          <w:pPr>
            <w:pStyle w:val="TOC1"/>
            <w:tabs>
              <w:tab w:val="right" w:leader="dot" w:pos="9350"/>
            </w:tabs>
            <w:spacing w:line="360" w:lineRule="auto"/>
          </w:pPr>
          <w:hyperlink w:anchor="_Toc210" w:history="1">
            <w:r>
              <w:t xml:space="preserve">Dimensionamiento de equipos para una implementación real</w:t>
            </w:r>
            <w:r>
              <w:tab/>
            </w:r>
            <w:r>
              <w:t>31</w:t>
            </w:r>
          </w:hyperlink>
        </w:p>
        <w:p>
          <w:pPr>
            <w:pStyle w:val="TOC1"/>
            <w:tabs>
              <w:tab w:val="right" w:leader="dot" w:pos="9350"/>
            </w:tabs>
            <w:spacing w:line="360" w:lineRule="auto"/>
          </w:pPr>
          <w:hyperlink w:anchor="_Toc25" w:history="1">
            <w:r>
              <w:t xml:space="preserve">Conclusiones</w:t>
            </w:r>
            <w:r>
              <w:tab/>
            </w:r>
            <w:r>
              <w:t>32</w:t>
            </w:r>
          </w:hyperlink>
        </w:p>
        <w:p>
          <w:pPr>
            <w:pStyle w:val="TOC1"/>
            <w:tabs>
              <w:tab w:val="right" w:leader="dot" w:pos="9350"/>
            </w:tabs>
            <w:spacing w:line="360" w:lineRule="auto"/>
          </w:pPr>
          <w:hyperlink w:anchor="_Toc211" w:history="1">
            <w:r>
              <w:t xml:space="preserve">Recomendaciones</w:t>
            </w:r>
            <w:r>
              <w:tab/>
            </w:r>
            <w:r>
              <w:t>33</w:t>
            </w:r>
          </w:hyperlink>
        </w:p>
        <w:p>
          <w:pPr>
            <w:pStyle w:val="TOC1"/>
            <w:tabs>
              <w:tab w:val="right" w:leader="dot" w:pos="9350"/>
            </w:tabs>
            <w:spacing w:line="360" w:lineRule="auto"/>
          </w:pPr>
          <w:hyperlink w:anchor="_Toc26" w:history="1">
            <w:r>
              <w:t xml:space="preserve">Referencias</w:t>
            </w:r>
            <w:r>
              <w:tab/>
            </w:r>
            <w:r>
              <w:t>35</w:t>
            </w:r>
          </w:hyperlink>
        </w:p>
        <w:p>
          <w:pPr>
            <w:pStyle w:val="TOC1"/>
            <w:tabs>
              <w:tab w:val="right" w:leader="dot" w:pos="9350"/>
            </w:tabs>
            <w:spacing w:line="360" w:lineRule="auto"/>
          </w:pPr>
          <w:hyperlink w:anchor="_Toc212" w:history="1">
            <w:r>
              <w:t xml:space="preserve">Anexo A</w:t>
            </w:r>
            <w:r>
              <w:tab/>
            </w:r>
            <w:r>
              <w:t>37</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rutas estáticas. Además, incorpora DHCP centralizado con reenvío desde las regionales y salida a una red externa simulada mediante NAT. El documento describe la construcción paso a paso con los comandos utilizados y capturas del archivo terminado, estima los equipos necesarios para una instalación física y registra nueve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rutas estáticas, DHCP, NAT,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ind w:firstLine="720"/>
      </w:pPr>
      <w:r>
        <w:t xml:space="preserve">Crestline Group (CRG) es una empresa ficticia de servicios corporativos que llega del extranjero a abrir sus oficinas en Bolivia. Como sus cuatro sedes son nuevas, la red se construye desde cero y se aprovecha para hacerla bien desde el inicio: separar a los usuarios en grupos (VLAN), darle a cada grupo su propio rango de direcciones (subred), unir las sedes con enlaces WAN y automatizar la entrega de direcciones.</w:t>
      </w:r>
    </w:p>
    <w:p>
      <w:pPr>
        <w:ind w:firstLine="720"/>
      </w:pPr>
      <w:r>
        <w:t xml:space="preserve">Este documento está pensado para que </w:t>
      </w:r>
      <w:r>
        <w:rPr>
          <w:b/>
          <w:bCs/>
        </w:rPr>
        <w:t xml:space="preserve">cualquier persona</w:t>
      </w:r>
      <w:r>
        <w:t xml:space="preserve"> pueda repetir el trabajo, aunque nunca haya usado Cisco Packet Tracer, el simulador de redes de Cisco Networking Academy (s. f.). Si sigues los pasos en orden y copias los comandos tal como están, vas a obtener exactamente la misma red. El diseño sigue el modelo jerárquico de capas (acceso y distribución) que recomienda Cisco (2024).</w:t>
      </w:r>
    </w:p>
    <w:p>
      <w:pPr>
        <w:pStyle w:val="Heading2"/>
      </w:pPr>
      <w:bookmarkStart w:name="_Toc202" w:id="202"/>
      <w:r>
        <w:t xml:space="preserve">Contexto de la empresa</w:t>
      </w:r>
      <w:bookmarkEnd w:id="202"/>
    </w:p>
    <w:p>
      <w:pPr>
        <w:ind w:firstLine="720"/>
      </w:pPr>
      <w:r>
        <w:t xml:space="preserve">Crestline Group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w:t>
      </w:r>
    </w:p>
    <w:p>
      <w:pPr>
        <w:ind w:firstLine="720"/>
      </w:pPr>
      <w:r>
        <w:t xml:space="preserve">La casa matriz exige además condiciones que la red debe cumplir desde el primer día: que cada área tenga su propia red, que las direcciones se asignen de forma automática y que las oficinas regionales se comuniquen con la sede central y puedan salir a una red externa.</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y permitir la salida hacia una red externa.</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la seguridad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rutas estáticas.</w:t>
      </w:r>
    </w:p>
    <w:p>
      <w:pPr>
        <w:pStyle w:val="ListParagraph"/>
        <w:numPr>
          <w:ilvl w:val="0"/>
          <w:numId w:val="7"/>
        </w:numPr>
      </w:pPr>
      <w:r>
        <w:t xml:space="preserve">Implementar los servicios DHCP y NAT.</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Para el enrutamiento entre sedes se usaron rutas estáticas: como todas las regionales se conectan solo con la sede central, cada regional necesita una única ruta por defecto y el router central una ruta por regional,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rutas estáticas, DHCP y NAT.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resolución de nombres (DNS), los controles de seguridad como las listas de control de acceso,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78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0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04"/>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97474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97474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rutas estáticas</w:t>
      </w:r>
      <w:bookmarkEnd w:id="16"/>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(todas las regionales se conectan solo con R-CRG), alcanzan muy pocas rutas.</w:t>
      </w:r>
    </w:p>
    <w:p>
      <w:pPr>
        <w:pStyle w:val="Heading3"/>
      </w:pPr>
      <w:r>
        <w:t xml:space="preserve">8.1 En R-CRG</w:t>
      </w:r>
    </w:p>
    <w:p>
      <w:pPr>
        <w:ind w:firstLine="720"/>
      </w:pPr>
      <w:r>
        <w:t xml:space="preserve">R-CRG necesita una ruta hacia la LAN de cada regional, por el enlace WAN que llega a ella,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10.20.1.0 255.255.255.224 172.31.255.2</w:t>
      </w:r>
    </w:p>
    <w:p>
      <w:pPr>
        <w:shd w:fill="EDEDED" w:color="auto" w:val="clear"/>
        <w:spacing w:after="0" w:before="0" w:line="240"/>
        <w:ind w:left="360"/>
      </w:pPr>
      <w:r>
        <w:rPr>
          <w:rFonts w:ascii="Courier New" w:cs="Courier New" w:eastAsia="Courier New" w:hAnsi="Courier New"/>
          <w:sz w:val="19"/>
          <w:szCs w:val="19"/>
        </w:rPr>
        <w:t xml:space="preserve">ip route 10.20.1.32 255.255.255.224 172.31.255.6</w:t>
      </w:r>
    </w:p>
    <w:p>
      <w:pPr>
        <w:shd w:fill="EDEDED" w:color="auto" w:val="clear"/>
        <w:spacing w:after="0" w:before="0" w:line="240"/>
        <w:ind w:left="360"/>
      </w:pPr>
      <w:r>
        <w:rPr>
          <w:rFonts w:ascii="Courier New" w:cs="Courier New" w:eastAsia="Courier New" w:hAnsi="Courier New"/>
          <w:sz w:val="19"/>
          <w:szCs w:val="19"/>
        </w:rPr>
        <w:t xml:space="preserve">ip route 10.20.1.64 255.255.255.224 172.31.255.10</w:t>
      </w:r>
    </w:p>
    <w:p>
      <w:pPr>
        <w:pStyle w:val="Heading3"/>
      </w:pPr>
      <w:r>
        <w:t xml:space="preserve">8.2 En los routers regionales</w:t>
      </w:r>
    </w:p>
    <w:p>
      <w:pPr>
        <w:ind w:firstLine="720"/>
      </w:pPr>
      <w:r>
        <w:t xml:space="preserve">Cada router regional solo conoce su propia LAN y su enlace WAN; todo lo demás está detrás de R-CRG. Por eso basta una ruta por defecto que apunte a la IP de R-CRG en ese enlace. Ejemplo de R-NORTE; en R-SUR el siguiente salto es </w:t>
      </w:r>
      <w:r>
        <w:rPr>
          <w:rFonts w:ascii="Courier New" w:cs="Courier New" w:eastAsia="Courier New" w:hAnsi="Courier New"/>
          <w:sz w:val="22"/>
          <w:szCs w:val="22"/>
        </w:rPr>
        <w:t xml:space="preserve">172.31.255.5</w:t>
      </w:r>
      <w:r>
        <w:t xml:space="preserve"> y en R-ESTE, </w:t>
      </w:r>
      <w:r>
        <w:rPr>
          <w:rFonts w:ascii="Courier New" w:cs="Courier New" w:eastAsia="Courier New" w:hAnsi="Courier New"/>
          <w:sz w:val="22"/>
          <w:szCs w:val="22"/>
        </w:rPr>
        <w:t xml:space="preserve">172.31.255.9</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0.0.0.0 172.31.255.1</w:t>
      </w:r>
    </w:p>
    <w:p>
      <w:pPr>
        <w:pStyle w:val="Heading3"/>
      </w:pPr>
      <w:r>
        <w:t xml:space="preserve">8.3 Comprobar las rutas</w:t>
      </w:r>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tres redes regionales con la letra </w:t>
      </w:r>
      <w:r>
        <w:rPr>
          <w:b/>
          <w:bCs/>
        </w:rPr>
        <w:t xml:space="preserve">S</w:t>
      </w:r>
      <w:r>
        <w:t xml:space="preserve"> y la ruta por defecto con </w:t>
      </w:r>
      <w:r>
        <w:rPr>
          <w:b/>
          <w:bCs/>
        </w:rPr>
        <w:t xml:space="preserve">S</w:t>
      </w:r>
      <w:r>
        <w:rPr>
          <w:i/>
          <w:iCs/>
        </w:rPr>
        <w:t xml:space="preserve"> (Figura 9). En R-NORTE, el mismo comando muestra solo la ruta por defecto hacia R-CRG (Figura 10)</w:t>
      </w:r>
    </w:p>
    <w:p>
      <w:pPr>
        <w:keepNext/>
      </w:pPr>
      <w:r>
        <w:rPr>
          <w:b/>
          <w:bCs/>
        </w:rPr>
        <w:t xml:space="preserve">Figura 9</w:t>
      </w:r>
    </w:p>
    <w:p>
      <w:pPr>
        <w:keepNext/>
      </w:pPr>
      <w:r>
        <w:rPr>
          <w:i/>
          <w:iCs/>
        </w:rPr>
        <w:t xml:space="preserve">Rutas estáticas en R-CRG</w:t>
      </w:r>
    </w:p>
    <w:p>
      <w:pPr>
        <w:keepNext w:val="false"/>
        <w:spacing w:after="360" w:line="240"/>
      </w:pPr>
      <w:r>
        <w:drawing>
          <wp:inline distT="0" distB="0" distL="0" distR="0">
            <wp:extent cx="4372356" cy="111774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72356" cy="1117745"/>
                    </a:xfrm>
                    <a:prstGeom prst="rect">
                      <a:avLst/>
                    </a:prstGeom>
                  </pic:spPr>
                </pic:pic>
              </a:graphicData>
            </a:graphic>
          </wp:inline>
        </w:drawing>
      </w:r>
    </w:p>
    <w:p>
      <w:pPr>
        <w:keepNext/>
      </w:pPr>
      <w:r>
        <w:rPr>
          <w:b/>
          <w:bCs/>
        </w:rPr>
        <w:t xml:space="preserve">Figura 10</w:t>
      </w:r>
    </w:p>
    <w:p>
      <w:pPr>
        <w:keepNext/>
      </w:pPr>
      <w:r>
        <w:rPr>
          <w:i/>
          <w:iCs/>
        </w:rPr>
        <w:t xml:space="preserve">Ruta por defecto en R-NORTE</w:t>
      </w:r>
    </w:p>
    <w:p>
      <w:pPr>
        <w:keepNext w:val="false"/>
        <w:spacing w:after="360" w:line="240"/>
      </w:pPr>
      <w:r>
        <w:drawing>
          <wp:inline distT="0" distB="0" distL="0" distR="0">
            <wp:extent cx="2859462" cy="547789"/>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9462" cy="547789"/>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pPr/>
      <w:r>
        <w:rPr>
          <w:i/>
          <w:iCs/>
        </w:rPr>
        <w:t xml:space="preserve">Nota.</w:t>
      </w:r>
      <w:r>
        <w:t xml:space="preserve"> Todos los pools siguen la misma estructura; solo cambian el nombre, la red y el gateway.</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IP fija de los servidores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w:t>
      </w:r>
    </w:p>
    <w:p>
      <w:pPr>
        <w:ind w:firstLine="720"/>
      </w:pPr>
      <w:r>
        <w:t xml:space="preserve">Haz lo mismo con </w:t>
      </w:r>
      <w:r>
        <w:rPr>
          <w:b/>
          <w:bCs/>
        </w:rPr>
        <w:t xml:space="preserve">WEB-EXT</w:t>
      </w:r>
      <w:r>
        <w:t xml:space="preserve">: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1" w:id="21"/>
      <w:r>
        <w:t xml:space="preserve">Paso 12.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y el gateway (Figura 11).</w:t>
      </w:r>
    </w:p>
    <w:p>
      <w:pPr>
        <w:pStyle w:val="ListParagraph"/>
        <w:numPr>
          <w:ilvl w:val="0"/>
          <w:numId w:val="6"/>
        </w:numPr>
      </w:pPr>
      <w:r>
        <w:t xml:space="preserve">Si dice «DHCP request failed», espera unos segundos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11</w:t>
      </w:r>
    </w:p>
    <w:p>
      <w:pPr>
        <w:keepNext/>
      </w:pPr>
      <w:r>
        <w:rPr>
          <w:i/>
          <w:iCs/>
        </w:rPr>
        <w:t xml:space="preserve">PC-VEN1 recibió su configuración por DHCP</w:t>
      </w:r>
    </w:p>
    <w:p>
      <w:pPr>
        <w:keepNext w:val="false"/>
        <w:spacing w:after="360" w:line="240"/>
      </w:pPr>
      <w:r>
        <w:drawing>
          <wp:inline distT="0" distB="0" distL="0" distR="0">
            <wp:extent cx="5810250" cy="1497487"/>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7487"/>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12).</w:t>
      </w:r>
    </w:p>
    <w:p>
      <w:pPr>
        <w:keepNext/>
      </w:pPr>
      <w:r>
        <w:rPr>
          <w:b/>
          <w:bCs/>
        </w:rPr>
        <w:t xml:space="preserve">Figura 12</w:t>
      </w:r>
    </w:p>
    <w:p>
      <w:pPr>
        <w:keepNext/>
      </w:pPr>
      <w:r>
        <w:rPr>
          <w:i/>
          <w:iCs/>
        </w:rPr>
        <w:t xml:space="preserve">Direcciones entregadas por el DHCP de R-CRG</w:t>
      </w:r>
    </w:p>
    <w:p>
      <w:pPr>
        <w:keepNext w:val="false"/>
        <w:spacing w:after="360" w:line="240"/>
      </w:pPr>
      <w:r>
        <w:drawing>
          <wp:inline distT="0" distB="0" distL="0" distR="0">
            <wp:extent cx="5534025" cy="2827284"/>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7284"/>
                    </a:xfrm>
                    <a:prstGeom prst="rect">
                      <a:avLst/>
                    </a:prstGeom>
                  </pic:spPr>
                </pic:pic>
              </a:graphicData>
            </a:graphic>
          </wp:inline>
        </w:drawing>
      </w:r>
    </w:p>
    <w:p>
      <w:pPr>
        <w:pStyle w:val="Heading2"/>
      </w:pPr>
      <w:bookmarkStart w:name="_Toc22" w:id="22"/>
      <w:r>
        <w:t xml:space="preserve">Paso 13.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Pr>
      <w:tblGrid>
        <w:gridCol w:w="500"/>
        <w:gridCol w:w="3060"/>
        <w:gridCol w:w="2200"/>
        <w:gridCol w:w="2400"/>
        <w:gridCol w:w="12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11, 12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(10.20.0.194)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S en R-CRG y ruta por defecto en las regionales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9, 10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17, 18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Ventas llega a Finanzas (enrutamiento entre VLAN)</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w:t>
            </w:r>
          </w:p>
        </w:tc>
      </w:tr>
    </w:tbl>
    <w:p/>
    <w:p>
      <w:pPr>
        <w:keepNext/>
      </w:pPr>
      <w:r>
        <w:rPr>
          <w:b/>
          <w:bCs/>
        </w:rPr>
        <w:t xml:space="preserve">Figura 13</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14</w:t>
      </w:r>
    </w:p>
    <w:p>
      <w:pPr>
        <w:keepNext/>
      </w:pPr>
      <w:r>
        <w:rPr>
          <w:i/>
          <w:iCs/>
        </w:rPr>
        <w:t xml:space="preserve">Ping de PC-VEN1 al servidor SRV-TI</w:t>
      </w:r>
    </w:p>
    <w:p>
      <w:pPr>
        <w:keepNext w:val="false"/>
        <w:spacing w:after="360" w:line="240"/>
      </w:pPr>
      <w:r>
        <w:drawing>
          <wp:inline distT="0" distB="0" distL="0" distR="0">
            <wp:extent cx="4267597" cy="2177568"/>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67597" cy="2177568"/>
                    </a:xfrm>
                    <a:prstGeom prst="rect">
                      <a:avLst/>
                    </a:prstGeom>
                  </pic:spPr>
                </pic:pic>
              </a:graphicData>
            </a:graphic>
          </wp:inline>
        </w:drawing>
      </w:r>
    </w:p>
    <w:p>
      <w:pPr>
        <w:keepNext/>
      </w:pPr>
      <w:r>
        <w:rPr>
          <w:b/>
          <w:bCs/>
        </w:rPr>
        <w:t xml:space="preserve">Figura 15</w:t>
      </w:r>
    </w:p>
    <w:p>
      <w:pPr>
        <w:keepNext/>
      </w:pPr>
      <w:r>
        <w:rPr>
          <w:i/>
          <w:iCs/>
        </w:rPr>
        <w:t xml:space="preserve">Ping desde PC-NOR1 (Regional Norte) al servidor SRV-TI de la sede central</w:t>
      </w:r>
    </w:p>
    <w:p>
      <w:pPr>
        <w:keepNext w:val="false"/>
        <w:spacing w:after="360" w:line="240"/>
      </w:pPr>
      <w:r>
        <w:drawing>
          <wp:inline distT="0" distB="0" distL="0" distR="0">
            <wp:extent cx="4324350" cy="2178596"/>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78596"/>
                    </a:xfrm>
                    <a:prstGeom prst="rect">
                      <a:avLst/>
                    </a:prstGeom>
                  </pic:spPr>
                </pic:pic>
              </a:graphicData>
            </a:graphic>
          </wp:inline>
        </w:drawing>
      </w:r>
    </w:p>
    <w:p>
      <w:pPr>
        <w:keepNext/>
      </w:pPr>
      <w:r>
        <w:rPr>
          <w:b/>
          <w:bCs/>
        </w:rPr>
        <w:t xml:space="preserve">Figura 16</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17</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18</w:t>
      </w:r>
    </w:p>
    <w:p>
      <w:pPr>
        <w:keepNext/>
      </w:pPr>
      <w:r>
        <w:rPr>
          <w:i/>
          <w:iCs/>
        </w:rPr>
        <w:t xml:space="preserve">Tabla de traducciones NAT en R-CRG</w:t>
      </w:r>
    </w:p>
    <w:p>
      <w:pPr>
        <w:keepNext/>
        <w:spacing w:after="0" w:line="240"/>
      </w:pPr>
      <w:r>
        <w:drawing>
          <wp:inline distT="0" distB="0" distL="0" distR="0">
            <wp:extent cx="4766220" cy="962322"/>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6220" cy="962322"/>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19</w:t>
      </w:r>
    </w:p>
    <w:p>
      <w:pPr>
        <w:keepNext/>
      </w:pPr>
      <w:r>
        <w:rPr>
          <w:i/>
          <w:iCs/>
        </w:rPr>
        <w:t xml:space="preserve">Ping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rutas estáticas entre las sedes, DHCP centralizado con reenvío desde las regionales y NAT hacia una red externa simulada. Las nueve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2 cubre la demanda de 300 equipos; las VLAN, las troncales y las subinterfaces funcionan según las Figuras 3 a 6; las rutas estáticas conectan las cuatro sedes (Figuras 9 y 10); DHCP y NAT respondieron como se esperaba en la matriz de la Tabla 8; y la Tabla 10 estima los equipos para una instalación real.</w:t>
      </w:r>
    </w:p>
    <w:p>
      <w:pPr>
        <w:ind w:firstLine="720"/>
      </w:pPr>
      <w:r>
        <w:t xml:space="preserve">La separación en VLAN limita el tamaño de cada dominio de difusión, el DHCP evita las direcciones duplicadas y las rutas estáticas mantienen el enrutamiento simple, porque todas las regionales dependen de la sede central.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sedes o enlaces de respaldo, mantener rutas estáticas a mano se vuelve difícil; un protocolo como OSPF actualiza las rutas automáticamente (Moy, 1998).</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