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212" w:history="1">
            <w:r>
              <w:t xml:space="preserve">Paso 5. Los switches de área</w:t>
            </w:r>
            <w:r>
              <w:tab/>
            </w:r>
            <w:r>
              <w:t>16</w:t>
            </w:r>
          </w:hyperlink>
        </w:p>
        <w:p>
          <w:pPr>
            <w:pStyle w:val="TOC2"/>
            <w:tabs>
              <w:tab w:val="right" w:leader="dot" w:pos="9350"/>
            </w:tabs>
            <w:spacing w:line="360" w:lineRule="auto"/>
          </w:pPr>
          <w:hyperlink w:anchor="_Toc213" w:history="1">
            <w:r>
              <w:t xml:space="preserve">Paso 6. Enlaces de R-CRG con los routers de piso</w:t>
            </w:r>
            <w:r>
              <w:tab/>
            </w:r>
            <w:r>
              <w:t>16</w:t>
            </w:r>
          </w:hyperlink>
        </w:p>
        <w:p>
          <w:pPr>
            <w:pStyle w:val="TOC2"/>
            <w:tabs>
              <w:tab w:val="right" w:leader="dot" w:pos="9350"/>
            </w:tabs>
            <w:spacing w:line="360" w:lineRule="auto"/>
          </w:pPr>
          <w:hyperlink w:anchor="_Toc214" w:history="1">
            <w:r>
              <w:t xml:space="preserve">Paso 7. Routers de piso</w:t>
            </w:r>
            <w:r>
              <w:tab/>
            </w:r>
            <w:r>
              <w:t>17</w:t>
            </w:r>
          </w:hyperlink>
        </w:p>
        <w:p>
          <w:pPr>
            <w:pStyle w:val="TOC2"/>
            <w:tabs>
              <w:tab w:val="right" w:leader="dot" w:pos="9350"/>
            </w:tabs>
            <w:spacing w:line="360" w:lineRule="auto"/>
          </w:pPr>
          <w:hyperlink w:anchor="_Toc210" w:history="1">
            <w:r>
              <w:t xml:space="preserve">Paso 8. Rutas estáticas</w:t>
            </w:r>
            <w:r>
              <w:tab/>
            </w:r>
            <w:r>
              <w:t>18</w:t>
            </w:r>
          </w:hyperlink>
        </w:p>
        <w:p>
          <w:pPr>
            <w:pStyle w:val="TOC2"/>
            <w:tabs>
              <w:tab w:val="right" w:leader="dot" w:pos="9350"/>
            </w:tabs>
            <w:spacing w:line="360" w:lineRule="auto"/>
          </w:pPr>
          <w:hyperlink w:anchor="_Toc17" w:history="1">
            <w:r>
              <w:t xml:space="preserve">Paso 9. DHCP centralizado en R-CRG</w:t>
            </w:r>
            <w:r>
              <w:tab/>
            </w:r>
            <w:r>
              <w:t>20</w:t>
            </w:r>
          </w:hyperlink>
        </w:p>
        <w:p>
          <w:pPr>
            <w:pStyle w:val="TOC2"/>
            <w:tabs>
              <w:tab w:val="right" w:leader="dot" w:pos="9350"/>
            </w:tabs>
            <w:spacing w:line="360" w:lineRule="auto"/>
          </w:pPr>
          <w:hyperlink w:anchor="_Toc216" w:history="1">
            <w:r>
              <w:t xml:space="preserve">Paso 10. IP fija de los servidores</w:t>
            </w:r>
            <w:r>
              <w:tab/>
            </w:r>
            <w:r>
              <w:t>21</w:t>
            </w:r>
          </w:hyperlink>
        </w:p>
        <w:p>
          <w:pPr>
            <w:pStyle w:val="TOC2"/>
            <w:tabs>
              <w:tab w:val="right" w:leader="dot" w:pos="9350"/>
            </w:tabs>
            <w:spacing w:line="360" w:lineRule="auto"/>
          </w:pPr>
          <w:hyperlink w:anchor="_Toc217" w:history="1">
            <w:r>
              <w:t xml:space="preserve">Paso 11. La red externa (ISP) y el NAT</w:t>
            </w:r>
            <w:r>
              <w:tab/>
            </w:r>
            <w:r>
              <w:t>21</w:t>
            </w:r>
          </w:hyperlink>
        </w:p>
        <w:p>
          <w:pPr>
            <w:pStyle w:val="TOC2"/>
            <w:tabs>
              <w:tab w:val="right" w:leader="dot" w:pos="9350"/>
            </w:tabs>
            <w:spacing w:line="360" w:lineRule="auto"/>
          </w:pPr>
          <w:hyperlink w:anchor="_Toc220" w:history="1">
            <w:r>
              <w:t xml:space="preserve">Paso 12. Poner las PC en DHCP</w:t>
            </w:r>
            <w:r>
              <w:tab/>
            </w:r>
            <w:r>
              <w:t>22</w:t>
            </w:r>
          </w:hyperlink>
        </w:p>
        <w:p>
          <w:pPr>
            <w:pStyle w:val="TOC2"/>
            <w:tabs>
              <w:tab w:val="right" w:leader="dot" w:pos="9350"/>
            </w:tabs>
            <w:spacing w:line="360" w:lineRule="auto"/>
          </w:pPr>
          <w:hyperlink w:anchor="_Toc221" w:history="1">
            <w:r>
              <w:t xml:space="preserve">Paso 13. Guardar</w:t>
            </w:r>
            <w:r>
              <w:tab/>
            </w:r>
            <w:r>
              <w:t>23</w:t>
            </w:r>
          </w:hyperlink>
        </w:p>
        <w:p>
          <w:pPr>
            <w:pStyle w:val="TOC1"/>
            <w:tabs>
              <w:tab w:val="right" w:leader="dot" w:pos="9350"/>
            </w:tabs>
            <w:spacing w:line="360" w:lineRule="auto"/>
          </w:pPr>
          <w:hyperlink w:anchor="_Toc23" w:history="1">
            <w:r>
              <w:t xml:space="preserve">Pruebas y resultados</w:t>
            </w:r>
            <w:r>
              <w:tab/>
            </w:r>
            <w:r>
              <w:t>23</w:t>
            </w:r>
          </w:hyperlink>
        </w:p>
        <w:p>
          <w:pPr>
            <w:pStyle w:val="TOC1"/>
            <w:tabs>
              <w:tab w:val="right" w:leader="dot" w:pos="9350"/>
            </w:tabs>
            <w:spacing w:line="360" w:lineRule="auto"/>
          </w:pPr>
          <w:hyperlink w:anchor="_Toc24" w:history="1">
            <w:r>
              <w:t xml:space="preserve">Problemas comunes y cómo arreglarlos</w:t>
            </w:r>
            <w:r>
              <w:tab/>
            </w:r>
            <w:r>
              <w:t>27</w:t>
            </w:r>
          </w:hyperlink>
        </w:p>
        <w:p>
          <w:pPr>
            <w:pStyle w:val="TOC1"/>
            <w:tabs>
              <w:tab w:val="right" w:leader="dot" w:pos="9350"/>
            </w:tabs>
            <w:spacing w:line="360" w:lineRule="auto"/>
          </w:pPr>
          <w:hyperlink w:anchor="_Toc222" w:history="1">
            <w:r>
              <w:t xml:space="preserve">Dimensionamiento de equipos para una implementación real</w:t>
            </w:r>
            <w:r>
              <w:tab/>
            </w:r>
            <w:r>
              <w:t>27</w:t>
            </w:r>
          </w:hyperlink>
        </w:p>
        <w:p>
          <w:pPr>
            <w:pStyle w:val="TOC1"/>
            <w:tabs>
              <w:tab w:val="right" w:leader="dot" w:pos="9350"/>
            </w:tabs>
            <w:spacing w:line="360" w:lineRule="auto"/>
          </w:pPr>
          <w:hyperlink w:anchor="_Toc25" w:history="1">
            <w:r>
              <w:t xml:space="preserve">Conclusiones</w:t>
            </w:r>
            <w:r>
              <w:tab/>
            </w:r>
            <w:r>
              <w:t>28</w:t>
            </w:r>
          </w:hyperlink>
        </w:p>
        <w:p>
          <w:pPr>
            <w:pStyle w:val="TOC1"/>
            <w:tabs>
              <w:tab w:val="right" w:leader="dot" w:pos="9350"/>
            </w:tabs>
            <w:spacing w:line="360" w:lineRule="auto"/>
          </w:pPr>
          <w:hyperlink w:anchor="_Toc223" w:history="1">
            <w:r>
              <w:t xml:space="preserve">Recomendaciones</w:t>
            </w:r>
            <w:r>
              <w:tab/>
            </w:r>
            <w:r>
              <w:t>29</w:t>
            </w:r>
          </w:hyperlink>
        </w:p>
        <w:p>
          <w:pPr>
            <w:pStyle w:val="TOC1"/>
            <w:tabs>
              <w:tab w:val="right" w:leader="dot" w:pos="9350"/>
            </w:tabs>
            <w:spacing w:line="360" w:lineRule="auto"/>
          </w:pPr>
          <w:hyperlink w:anchor="_Toc26" w:history="1">
            <w:r>
              <w:t xml:space="preserve">Referencias</w:t>
            </w:r>
            <w:r>
              <w:tab/>
            </w:r>
            <w:r>
              <w:t>31</w:t>
            </w:r>
          </w:hyperlink>
        </w:p>
        <w:p>
          <w:pPr>
            <w:pStyle w:val="TOC1"/>
            <w:tabs>
              <w:tab w:val="right" w:leader="dot" w:pos="9350"/>
            </w:tabs>
            <w:spacing w:line="360" w:lineRule="auto"/>
          </w:pPr>
          <w:hyperlink w:anchor="_Toc224" w:history="1">
            <w:r>
              <w:t xml:space="preserve">Anexo A</w:t>
            </w:r>
            <w:r>
              <w:tab/>
            </w:r>
            <w:r>
              <w:t>33</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y capturas del archivo terminado, registra nueve pruebas de aceptación, todas con el resultado esperado,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por Crestline Group) y tres routers de piso (R-P1, R-P2 y R-P3, por «router de piso» 1, 2 y 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 La Tabla 3 muestra cuántos equipos tiene cada área y qué subred necesita.</w:t>
      </w:r>
    </w:p>
    <w:p>
      <w:pPr>
        <w:keepNext/>
      </w:pPr>
      <w:r>
        <w:rPr>
          <w:b/>
          <w:bCs/>
        </w:rPr>
        <w:t xml:space="preserve">Tabla 3</w:t>
      </w:r>
    </w:p>
    <w:p>
      <w:pPr>
        <w:keepNext/>
      </w:pPr>
      <w:r>
        <w:rPr>
          <w:i/>
          <w:iCs/>
        </w:rPr>
        <w:t xml:space="preserve">Equipos por área y subred necesaria</w:t>
      </w:r>
    </w:p>
    <w:tbl>
      <w:tblPr>
        <w:tblW w:type="dxa" w:w="9360"/>
      </w:tblPr>
      <w:tblGrid>
        <w:gridCol w:w="3300"/>
        <w:gridCol w:w="2300"/>
        <w:gridCol w:w="1700"/>
        <w:gridCol w:w="206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Equipos</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útiles</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 PC y 1 servidor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enlace entre routers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r>
      <w:tr>
        <w:trPr>
          <w:cantSplit/>
        </w:trP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con el ISP</w:t>
            </w:r>
          </w:p>
        </w:tc>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r>
    </w:tbl>
    <w:p>
      <w:pPr>
        <w:spacing w:after="360"/>
      </w:pPr>
      <w:r>
        <w:rPr>
          <w:i/>
          <w:iCs/>
        </w:rPr>
        <w:t xml:space="preserve">Nota.</w:t>
      </w:r>
      <w:r>
        <w:t xml:space="preserve"> Cada prefijo se eligió para que alcancen los equipos más el gateway de cada área.</w:t>
      </w:r>
    </w:p>
    <w:p>
      <w:pPr>
        <w:keepNext/>
      </w:pPr>
      <w:r>
        <w:rPr>
          <w:b/>
          <w:bCs/>
        </w:rPr>
        <w:t xml:space="preserve">Tabla 4</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5</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6</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ind w:firstLine="720"/>
      </w:pPr>
      <w:r>
        <w:t xml:space="preserve">El puerto queda con el nombre Serial0/0/0. La Figura 2 muestra la tarjeta instalada en la ranura 0 de R-CRG.</w:t>
      </w:r>
    </w:p>
    <w:p>
      <w:pPr>
        <w:keepNext/>
      </w:pPr>
      <w:r>
        <w:rPr>
          <w:b/>
          <w:bCs/>
        </w:rPr>
        <w:t xml:space="preserve">Figura 2</w:t>
      </w:r>
    </w:p>
    <w:p>
      <w:pPr>
        <w:keepNext/>
      </w:pPr>
      <w:r>
        <w:rPr>
          <w:i/>
          <w:iCs/>
        </w:rPr>
        <w:t xml:space="preserve">Router R-CRG con la tarjeta HWIC-2T instalada</w:t>
      </w:r>
    </w:p>
    <w:p>
      <w:pPr>
        <w:keepNext/>
        <w:spacing w:after="0" w:line="240"/>
      </w:pPr>
      <w:r>
        <w:drawing>
          <wp:inline distT="0" distB="0" distL="0" distR="0">
            <wp:extent cx="5810250" cy="2727260"/>
            <wp:effectExtent t="0" r="0" b="0" l="0"/>
            <wp:docPr id="10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2" cstate="none"/>
                    <a:srcRect/>
                    <a:stretch>
                      <a:fillRect/>
                    </a:stretch>
                  </pic:blipFill>
                  <pic:spPr bwMode="auto">
                    <a:xfrm>
                      <a:off x="0" y="0"/>
                      <a:ext cx="5810250" cy="2727260"/>
                    </a:xfrm>
                    <a:prstGeom prst="rect">
                      <a:avLst/>
                    </a:prstGeom>
                  </pic:spPr>
                </pic:pic>
              </a:graphicData>
            </a:graphic>
          </wp:inline>
        </w:drawing>
      </w:r>
    </w:p>
    <w:p>
      <w:pPr>
        <w:spacing w:after="360"/>
      </w:pPr>
      <w:r>
        <w:rPr>
          <w:i/>
          <w:iCs/>
        </w:rPr>
        <w:t xml:space="preserve">Nota.</w:t>
      </w:r>
      <w:r>
        <w:t xml:space="preserve"> La tarjeta aparece en la ranura eHWIC 0, a la derecha de la vista trasera del router.</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7.</w:t>
      </w:r>
    </w:p>
    <w:p>
      <w:pPr>
        <w:keepNext/>
      </w:pPr>
      <w:r>
        <w:rPr>
          <w:b/>
          <w:bCs/>
        </w:rPr>
        <w:t xml:space="preserve">Tabla 7</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ind w:firstLine="720"/>
      </w:pPr>
      <w:r>
        <w:t xml:space="preserve">Al terminar de conectar, la red queda como en la Figura 3. Los triángulos se ponen verdes cuando cada interfaz se configura en los pasos siguientes.</w:t>
      </w:r>
    </w:p>
    <w:p>
      <w:pPr>
        <w:keepNext/>
      </w:pPr>
      <w:r>
        <w:rPr>
          <w:b/>
          <w:bCs/>
        </w:rPr>
        <w:t xml:space="preserve">Figura 3</w:t>
      </w:r>
    </w:p>
    <w:p>
      <w:pPr>
        <w:keepNext/>
      </w:pPr>
      <w:r>
        <w:rPr>
          <w:i/>
          <w:iCs/>
        </w:rPr>
        <w:t xml:space="preserve">Red de Crestline Group terminada en Packet Tracer</w:t>
      </w:r>
    </w:p>
    <w:p>
      <w:pPr>
        <w:keepNext/>
        <w:spacing w:after="0" w:line="240"/>
      </w:pPr>
      <w:r>
        <w:drawing>
          <wp:inline distT="0" distB="0" distL="0" distR="0">
            <wp:extent cx="5810250" cy="2257787"/>
            <wp:effectExtent t="0" r="0" b="0" l="0"/>
            <wp:docPr id="1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3"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w:t>
      </w:r>
      <w:r>
        <w:t xml:space="preserve"> Las líneas punteadas son cables cruzados entre routers; la línea roja en zigzag es el enlace serial con el ISP. Las etiquetas indican la subred de cada área y de cada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spacing w:before="0" w:after="0" w:line="240" w:lineRule="exact"/>
      </w:pPr>
    </w:p>
    <w:p>
      <w:pPr/>
      <w:r>
        <w:t xml:space="preserve">Qué hace cada línea del bloque:</w:t>
      </w:r>
    </w:p>
    <w:p>
      <w:pPr/>
      <w:r>
        <w:rPr>
          <w:rFonts w:ascii="Courier New" w:cs="Courier New" w:eastAsia="Courier New" w:hAnsi="Courier New"/>
          <w:sz w:val="22"/>
          <w:szCs w:val="22"/>
        </w:rPr>
        <w:t xml:space="preserve">hostname</w:t>
      </w:r>
      <w:r>
        <w:t xml:space="preserve">: le pone nombre al equipo; es el que aparece en el símbolo de la CLI (por ejemplo </w:t>
      </w:r>
      <w:r>
        <w:rPr>
          <w:rFonts w:ascii="Courier New" w:cs="Courier New" w:eastAsia="Courier New" w:hAnsi="Courier New"/>
          <w:sz w:val="22"/>
          <w:szCs w:val="22"/>
        </w:rPr>
        <w:t xml:space="preserve">R-CRG#</w:t>
      </w:r>
      <w:r>
        <w:t xml:space="preserve">).</w:t>
      </w:r>
    </w:p>
    <w:p>
      <w:pPr/>
      <w:r>
        <w:rPr>
          <w:rFonts w:ascii="Courier New" w:cs="Courier New" w:eastAsia="Courier New" w:hAnsi="Courier New"/>
          <w:sz w:val="22"/>
          <w:szCs w:val="22"/>
        </w:rPr>
        <w:t xml:space="preserve">no ip domain-lookup</w:t>
      </w:r>
      <w:r>
        <w:t xml:space="preserve">: apaga la búsqueda de nombres por DNS. Sin esta línea, si escribes algo que no es un comando, el equipo lo toma como el nombre de una computadora, intenta resolverlo y se queda trabado unos segundos.</w:t>
      </w:r>
    </w:p>
    <w:p>
      <w:pPr/>
      <w:r>
        <w:rPr>
          <w:rFonts w:ascii="Courier New" w:cs="Courier New" w:eastAsia="Courier New" w:hAnsi="Courier New"/>
          <w:sz w:val="22"/>
          <w:szCs w:val="22"/>
        </w:rPr>
        <w:t xml:space="preserve">enable secret CLAVE</w:t>
      </w:r>
      <w:r>
        <w:t xml:space="preserve">: pone la contraseña que se pide al escribir </w:t>
      </w:r>
      <w:r>
        <w:rPr>
          <w:rFonts w:ascii="Courier New" w:cs="Courier New" w:eastAsia="Courier New" w:hAnsi="Courier New"/>
          <w:sz w:val="22"/>
          <w:szCs w:val="22"/>
        </w:rPr>
        <w:t xml:space="preserve">enable</w:t>
      </w:r>
      <w:r>
        <w:t xml:space="preserve"> para entrar al modo privilegiado. </w:t>
      </w:r>
      <w:r>
        <w:rPr>
          <w:rFonts w:ascii="Courier New" w:cs="Courier New" w:eastAsia="Courier New" w:hAnsi="Courier New"/>
          <w:sz w:val="22"/>
          <w:szCs w:val="22"/>
        </w:rPr>
        <w:t xml:space="preserve">secret</w:t>
      </w:r>
      <w:r>
        <w:t xml:space="preserve"> la guarda cifrada.</w:t>
      </w:r>
    </w:p>
    <w:p>
      <w:pPr/>
      <w:r>
        <w:rPr>
          <w:rFonts w:ascii="Courier New" w:cs="Courier New" w:eastAsia="Courier New" w:hAnsi="Courier New"/>
          <w:sz w:val="22"/>
          <w:szCs w:val="22"/>
        </w:rPr>
        <w:t xml:space="preserve">service password-encryption</w:t>
      </w:r>
      <w:r>
        <w:t xml:space="preserve">: cifra las contraseñas que el equipo guarda en texto plano, para que no se lean en la configuración.</w:t>
      </w:r>
    </w:p>
    <w:p>
      <w:pPr/>
      <w:r>
        <w:rPr>
          <w:rFonts w:ascii="Courier New" w:cs="Courier New" w:eastAsia="Courier New" w:hAnsi="Courier New"/>
          <w:sz w:val="22"/>
          <w:szCs w:val="22"/>
        </w:rPr>
        <w:t xml:space="preserve">username admin privilege 15 secret CLAVE</w:t>
      </w:r>
      <w:r>
        <w:t xml:space="preserve">: crea un usuario local llamado </w:t>
      </w:r>
      <w:r>
        <w:rPr>
          <w:rFonts w:ascii="Courier New" w:cs="Courier New" w:eastAsia="Courier New" w:hAnsi="Courier New"/>
          <w:sz w:val="22"/>
          <w:szCs w:val="22"/>
        </w:rPr>
        <w:t xml:space="preserve">admin</w:t>
      </w:r>
      <w:r>
        <w:t xml:space="preserve"> con el nivel de privilegio más alto (15, de 0 a 15) y su contraseña cifrada. En este proyecto no se usa para entrar; queda listo para cuando se configure el acceso remoto por Telnet o SSH.</w:t>
      </w:r>
    </w:p>
    <w:p>
      <w:pPr/>
      <w:r>
        <w:rPr>
          <w:rFonts w:ascii="Courier New" w:cs="Courier New" w:eastAsia="Courier New" w:hAnsi="Courier New"/>
          <w:sz w:val="22"/>
          <w:szCs w:val="22"/>
        </w:rPr>
        <w:t xml:space="preserve">banner motd</w:t>
      </w:r>
      <w:r>
        <w:t xml:space="preserve">: muestra un aviso legal a quien entra al equipo. Lo que va entre los símbolos </w:t>
      </w:r>
      <w:r>
        <w:rPr>
          <w:rFonts w:ascii="Courier New" w:cs="Courier New" w:eastAsia="Courier New" w:hAnsi="Courier New"/>
          <w:sz w:val="22"/>
          <w:szCs w:val="22"/>
        </w:rPr>
        <w:t xml:space="preserve">#</w:t>
      </w:r>
      <w:r>
        <w:t xml:space="preserve"> es el texto del aviso.</w:t>
      </w:r>
    </w:p>
    <w:p>
      <w:pPr/>
      <w:r>
        <w:rPr>
          <w:rFonts w:ascii="Courier New" w:cs="Courier New" w:eastAsia="Courier New" w:hAnsi="Courier New"/>
          <w:sz w:val="22"/>
          <w:szCs w:val="22"/>
        </w:rPr>
        <w:t xml:space="preserve">line console 0</w:t>
      </w:r>
      <w:r>
        <w:t xml:space="preserve"> y </w:t>
      </w:r>
      <w:r>
        <w:rPr>
          <w:rFonts w:ascii="Courier New" w:cs="Courier New" w:eastAsia="Courier New" w:hAnsi="Courier New"/>
          <w:sz w:val="22"/>
          <w:szCs w:val="22"/>
        </w:rPr>
        <w:t xml:space="preserve">logging synchronous</w:t>
      </w:r>
      <w:r>
        <w:t xml:space="preserve">: entran a la configuración del cable de consola y evitan que los mensajes del equipo se mezclen con lo que estás escribiendo.</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5).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8.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8</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4.</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 La Figura 4 muestra R-CRG (con el enlace serial que se configura en el Paso 11) y la Figura 5, R-P1.</w:t>
      </w:r>
    </w:p>
    <w:p>
      <w:pPr>
        <w:keepNext/>
      </w:pPr>
      <w:r>
        <w:rPr>
          <w:b/>
          <w:bCs/>
        </w:rPr>
        <w:t xml:space="preserve">Figura 4</w:t>
      </w:r>
    </w:p>
    <w:p>
      <w:pPr>
        <w:keepNext/>
      </w:pPr>
      <w:r>
        <w:rPr>
          <w:i/>
          <w:iCs/>
        </w:rPr>
        <w:t xml:space="preserve">Resultado de show ip interface brief en R-CRG</w:t>
      </w:r>
    </w:p>
    <w:p>
      <w:pPr>
        <w:keepNext/>
        <w:spacing w:after="0" w:line="240"/>
      </w:pPr>
      <w:r>
        <w:drawing>
          <wp:inline distT="0" distB="0" distL="0" distR="0">
            <wp:extent cx="5480000" cy="1150000"/>
            <wp:effectExtent t="0" r="0" b="0" l="0"/>
            <wp:docPr id="10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4" cstate="none"/>
                    <a:srcRect/>
                    <a:stretch>
                      <a:fillRect/>
                    </a:stretch>
                  </pic:blipFill>
                  <pic:spPr bwMode="auto">
                    <a:xfrm>
                      <a:off x="0" y="0"/>
                      <a:ext cx="5480000" cy="1150000"/>
                    </a:xfrm>
                    <a:prstGeom prst="rect">
                      <a:avLst/>
                    </a:prstGeom>
                  </pic:spPr>
                </pic:pic>
              </a:graphicData>
            </a:graphic>
          </wp:inline>
        </w:drawing>
      </w:r>
    </w:p>
    <w:p>
      <w:pPr>
        <w:spacing w:after="240"/>
      </w:pPr>
    </w:p>
    <w:p>
      <w:pPr>
        <w:keepNext/>
      </w:pPr>
      <w:r>
        <w:rPr>
          <w:b/>
          <w:bCs/>
        </w:rPr>
        <w:t xml:space="preserve">Figura 5</w:t>
      </w:r>
    </w:p>
    <w:p>
      <w:pPr>
        <w:keepNext/>
      </w:pPr>
      <w:r>
        <w:rPr>
          <w:i/>
          <w:iCs/>
        </w:rPr>
        <w:t xml:space="preserve">Interfaces y ruta por defecto de R-P1</w:t>
      </w:r>
    </w:p>
    <w:p>
      <w:pPr>
        <w:keepNext/>
        <w:spacing w:after="0" w:line="240"/>
      </w:pPr>
      <w:r>
        <w:drawing>
          <wp:inline distT="0" distB="0" distL="0" distR="0">
            <wp:extent cx="5480000" cy="1410000"/>
            <wp:effectExtent t="0" r="0" b="0" l="0"/>
            <wp:docPr id="1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5" cstate="none"/>
                    <a:srcRect/>
                    <a:stretch>
                      <a:fillRect/>
                    </a:stretch>
                  </pic:blipFill>
                  <pic:spPr bwMode="auto">
                    <a:xfrm>
                      <a:off x="0" y="0"/>
                      <a:ext cx="5480000" cy="1410000"/>
                    </a:xfrm>
                    <a:prstGeom prst="rect">
                      <a:avLst/>
                    </a:prstGeom>
                  </pic:spPr>
                </pic:pic>
              </a:graphicData>
            </a:graphic>
          </wp:inline>
        </w:drawing>
      </w:r>
    </w:p>
    <w:p>
      <w:pPr>
        <w:spacing w:after="240"/>
      </w:pP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(Figura 6). En cada router de piso, el mismo comando muestra solo la ruta por defecto hacia R-CRG (Figura 5).</w:t>
      </w:r>
    </w:p>
    <w:p>
      <w:pPr>
        <w:keepNext/>
      </w:pPr>
      <w:r>
        <w:rPr>
          <w:b/>
          <w:bCs/>
        </w:rPr>
        <w:t xml:space="preserve">Figura 6</w:t>
      </w:r>
    </w:p>
    <w:p>
      <w:pPr>
        <w:keepNext/>
      </w:pPr>
      <w:r>
        <w:rPr>
          <w:i/>
          <w:iCs/>
        </w:rPr>
        <w:t xml:space="preserve">Rutas estáticas en R-CRG</w:t>
      </w:r>
    </w:p>
    <w:p>
      <w:pPr>
        <w:keepNext/>
        <w:spacing w:after="0" w:line="240"/>
      </w:pPr>
      <w:r>
        <w:drawing>
          <wp:inline distT="0" distB="0" distL="0" distR="0">
            <wp:extent cx="4030000" cy="1410000"/>
            <wp:effectExtent t="0" r="0" b="0" l="0"/>
            <wp:docPr id="10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6" cstate="none"/>
                    <a:srcRect/>
                    <a:stretch>
                      <a:fillRect/>
                    </a:stretch>
                  </pic:blipFill>
                  <pic:spPr bwMode="auto">
                    <a:xfrm>
                      <a:off x="0" y="0"/>
                      <a:ext cx="4030000" cy="1410000"/>
                    </a:xfrm>
                    <a:prstGeom prst="rect">
                      <a:avLst/>
                    </a:prstGeom>
                  </pic:spPr>
                </pic:pic>
              </a:graphicData>
            </a:graphic>
          </wp:inline>
        </w:drawing>
      </w:r>
    </w:p>
    <w:p>
      <w:pPr>
        <w:spacing w:after="240"/>
      </w:pP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9</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 (Figura 7).</w:t>
      </w:r>
    </w:p>
    <w:p>
      <w:pPr>
        <w:keepNext/>
      </w:pPr>
      <w:r>
        <w:rPr>
          <w:b/>
          <w:bCs/>
        </w:rPr>
        <w:t xml:space="preserve">Figura 7</w:t>
      </w:r>
    </w:p>
    <w:p>
      <w:pPr>
        <w:keepNext/>
      </w:pPr>
      <w:r>
        <w:rPr>
          <w:i/>
          <w:iCs/>
        </w:rPr>
        <w:t xml:space="preserve">PC-VEN1 recibió su configuración por DHCP</w:t>
      </w:r>
    </w:p>
    <w:p>
      <w:pPr>
        <w:keepNext/>
        <w:spacing w:after="0" w:line="240"/>
      </w:pPr>
      <w:r>
        <w:drawing>
          <wp:inline distT="0" distB="0" distL="0" distR="0">
            <wp:extent cx="5810250" cy="1452562"/>
            <wp:effectExtent t="0" r="0" b="0" l="0"/>
            <wp:docPr id="1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7" cstate="none"/>
                    <a:srcRect/>
                    <a:stretch>
                      <a:fillRect/>
                    </a:stretch>
                  </pic:blipFill>
                  <pic:spPr bwMode="auto">
                    <a:xfrm>
                      <a:off x="0" y="0"/>
                      <a:ext cx="5810250" cy="1452562"/>
                    </a:xfrm>
                    <a:prstGeom prst="rect">
                      <a:avLst/>
                    </a:prstGeom>
                  </pic:spPr>
                </pic:pic>
              </a:graphicData>
            </a:graphic>
          </wp:inline>
        </w:drawing>
      </w:r>
    </w:p>
    <w:p>
      <w:pPr>
        <w:spacing w:after="240"/>
      </w:pP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recibieron una IP dentro de la subred de su área (Figura 8).</w:t>
      </w:r>
    </w:p>
    <w:p>
      <w:pPr>
        <w:keepNext/>
      </w:pPr>
      <w:r>
        <w:rPr>
          <w:b/>
          <w:bCs/>
        </w:rPr>
        <w:t xml:space="preserve">Figura 8</w:t>
      </w:r>
    </w:p>
    <w:p>
      <w:pPr>
        <w:keepNext/>
      </w:pPr>
      <w:r>
        <w:rPr>
          <w:i/>
          <w:iCs/>
        </w:rPr>
        <w:t xml:space="preserve">Direcciones entregadas por el DHCP de R-CRG</w:t>
      </w:r>
    </w:p>
    <w:p>
      <w:pPr>
        <w:keepNext/>
        <w:spacing w:after="0" w:line="240"/>
      </w:pPr>
      <w:r>
        <w:drawing>
          <wp:inline distT="0" distB="0" distL="0" distR="0">
            <wp:extent cx="5080000" cy="2190000"/>
            <wp:effectExtent t="0" r="0" b="0" l="0"/>
            <wp:docPr id="10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8" cstate="none"/>
                    <a:srcRect/>
                    <a:stretch>
                      <a:fillRect/>
                    </a:stretch>
                  </pic:blipFill>
                  <pic:spPr bwMode="auto">
                    <a:xfrm>
                      <a:off x="0" y="0"/>
                      <a:ext cx="5080000" cy="2190000"/>
                    </a:xfrm>
                    <a:prstGeom prst="rect">
                      <a:avLst/>
                    </a:prstGeom>
                  </pic:spPr>
                </pic:pic>
              </a:graphicData>
            </a:graphic>
          </wp:inline>
        </w:drawing>
      </w:r>
    </w:p>
    <w:p>
      <w:pPr>
        <w:spacing w:after="240"/>
      </w:pP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10 resume las pruebas y sus resultados.</w:t>
      </w:r>
    </w:p>
    <w:p>
      <w:pPr>
        <w:keepNext/>
      </w:pPr>
      <w:r>
        <w:rPr>
          <w:b/>
          <w:bCs/>
        </w:rPr>
        <w:t xml:space="preserve">Tabla 10</w:t>
      </w:r>
    </w:p>
    <w:p>
      <w:pPr>
        <w:keepNext/>
      </w:pPr>
      <w:r>
        <w:rPr>
          <w:i/>
          <w:iCs/>
        </w:rPr>
        <w:t xml:space="preserve">Matriz de pruebas de aceptación</w:t>
      </w:r>
    </w:p>
    <w:tbl>
      <w:tblPr>
        <w:tblW w:type="dxa" w:w="9360"/>
      </w:tblPr>
      <w:tblGrid>
        <w:gridCol w:w="500"/>
        <w:gridCol w:w="3300"/>
        <w:gridCol w:w="2500"/>
        <w:gridCol w:w="2060"/>
        <w:gridCol w:w="10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de 12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5, 6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traducción a 203.0.113.1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13, 14</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w:t>
            </w:r>
          </w:p>
        </w:tc>
      </w:tr>
    </w:tbl>
    <w:p>
      <w:pPr>
        <w:spacing w:after="360"/>
      </w:pPr>
      <w:r>
        <w:rPr>
          <w:i/>
          <w:iCs/>
        </w:rPr>
        <w:t xml:space="preserve">Nota.</w:t>
      </w:r>
      <w:r>
        <w:t xml:space="preserve"> Las nueve pruebas dieron el resultado esperado.</w:t>
      </w:r>
    </w:p>
    <w:p>
      <w:pPr>
        <w:keepNext/>
      </w:pPr>
      <w:r>
        <w:rPr>
          <w:b/>
          <w:bCs/>
        </w:rPr>
        <w:t xml:space="preserve">Figura 9</w:t>
      </w:r>
    </w:p>
    <w:p>
      <w:pPr>
        <w:keepNext/>
      </w:pPr>
      <w:r>
        <w:rPr>
          <w:i/>
          <w:iCs/>
        </w:rPr>
        <w:t xml:space="preserve">Ping de PC-VEN1 a su gateway</w:t>
      </w:r>
    </w:p>
    <w:p>
      <w:pPr>
        <w:keepNext/>
        <w:spacing w:after="0" w:line="240"/>
      </w:pPr>
      <w:r>
        <w:drawing>
          <wp:inline distT="0" distB="0" distL="0" distR="0">
            <wp:extent cx="4000000" cy="2040000"/>
            <wp:effectExtent t="0" r="0" b="0" l="0"/>
            <wp:docPr id="1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9"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10</w:t>
      </w:r>
    </w:p>
    <w:p>
      <w:pPr>
        <w:keepNext/>
      </w:pPr>
      <w:r>
        <w:rPr>
          <w:i/>
          <w:iCs/>
        </w:rPr>
        <w:t xml:space="preserve">Ping de PC-VEN1 a PC-OPE1 (otra subred del mismo router de piso)</w:t>
      </w:r>
    </w:p>
    <w:p>
      <w:pPr>
        <w:keepNext/>
        <w:spacing w:after="0" w:line="240"/>
      </w:pPr>
      <w:r>
        <w:drawing>
          <wp:inline distT="0" distB="0" distL="0" distR="0">
            <wp:extent cx="4000000" cy="2040000"/>
            <wp:effectExtent t="0" r="0" b="0" l="0"/>
            <wp:docPr id="10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0"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11</w:t>
      </w:r>
    </w:p>
    <w:p>
      <w:pPr>
        <w:keepNext/>
      </w:pPr>
      <w:r>
        <w:rPr>
          <w:i/>
          <w:iCs/>
        </w:rPr>
        <w:t xml:space="preserve">Ping de PC-VEN1 al servidor SRV-TI</w:t>
      </w:r>
    </w:p>
    <w:p>
      <w:pPr>
        <w:keepNext/>
        <w:spacing w:after="0" w:line="240"/>
      </w:pPr>
      <w:r>
        <w:drawing>
          <wp:inline distT="0" distB="0" distL="0" distR="0">
            <wp:extent cx="4000000" cy="2040000"/>
            <wp:effectExtent t="0" r="0" b="0" l="0"/>
            <wp:docPr id="1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1"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12</w:t>
      </w:r>
    </w:p>
    <w:p>
      <w:pPr>
        <w:keepNext/>
      </w:pPr>
      <w:r>
        <w:rPr>
          <w:i/>
          <w:iCs/>
        </w:rPr>
        <w:t xml:space="preserve">Ping de PC-CAP1 a PC-FIN1 (routers de piso distintos)</w:t>
      </w:r>
    </w:p>
    <w:p>
      <w:pPr>
        <w:keepNext/>
        <w:spacing w:after="0" w:line="240"/>
      </w:pPr>
      <w:r>
        <w:drawing>
          <wp:inline distT="0" distB="0" distL="0" distR="0">
            <wp:extent cx="3860000" cy="2040000"/>
            <wp:effectExtent t="0" r="0" b="0" l="0"/>
            <wp:docPr id="10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2" cstate="none"/>
                    <a:srcRect/>
                    <a:stretch>
                      <a:fillRect/>
                    </a:stretch>
                  </pic:blipFill>
                  <pic:spPr bwMode="auto">
                    <a:xfrm>
                      <a:off x="0" y="0"/>
                      <a:ext cx="3860000" cy="2040000"/>
                    </a:xfrm>
                    <a:prstGeom prst="rect">
                      <a:avLst/>
                    </a:prstGeom>
                  </pic:spPr>
                </pic:pic>
              </a:graphicData>
            </a:graphic>
          </wp:inline>
        </w:drawing>
      </w:r>
    </w:p>
    <w:p>
      <w:pPr>
        <w:spacing w:after="240"/>
      </w:pPr>
    </w:p>
    <w:p>
      <w:pPr>
        <w:keepNext/>
      </w:pPr>
      <w:r>
        <w:rPr>
          <w:b/>
          <w:bCs/>
        </w:rPr>
        <w:t xml:space="preserve">Figura 13</w:t>
      </w:r>
    </w:p>
    <w:p>
      <w:pPr>
        <w:keepNext/>
      </w:pPr>
      <w:r>
        <w:rPr>
          <w:i/>
          <w:iCs/>
        </w:rPr>
        <w:t xml:space="preserve">Ping de PC-VEN1 al servidor externo WEB-EXT</w:t>
      </w:r>
    </w:p>
    <w:p>
      <w:pPr>
        <w:keepNext/>
        <w:spacing w:after="0" w:line="240"/>
      </w:pPr>
      <w:r>
        <w:drawing>
          <wp:inline distT="0" distB="0" distL="0" distR="0">
            <wp:extent cx="4000000" cy="2040000"/>
            <wp:effectExtent t="0" r="0" b="0" l="0"/>
            <wp:docPr id="1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3"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14</w:t>
      </w:r>
    </w:p>
    <w:p>
      <w:pPr>
        <w:keepNext/>
      </w:pPr>
      <w:r>
        <w:rPr>
          <w:i/>
          <w:iCs/>
        </w:rPr>
        <w:t xml:space="preserve">Tabla de traducciones NAT en R-CRG</w:t>
      </w:r>
    </w:p>
    <w:p>
      <w:pPr>
        <w:keepNext/>
        <w:spacing w:after="0" w:line="240"/>
      </w:pPr>
      <w:r>
        <w:drawing>
          <wp:inline distT="0" distB="0" distL="0" distR="0">
            <wp:extent cx="5280000" cy="1040000"/>
            <wp:effectExtent t="0" r="0" b="0" l="0"/>
            <wp:docPr id="10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4" cstate="none"/>
                    <a:srcRect/>
                    <a:stretch>
                      <a:fillRect/>
                    </a:stretch>
                  </pic:blipFill>
                  <pic:spPr bwMode="auto">
                    <a:xfrm>
                      <a:off x="0" y="0"/>
                      <a:ext cx="5280000" cy="1040000"/>
                    </a:xfrm>
                    <a:prstGeom prst="rect">
                      <a:avLst/>
                    </a:prstGeom>
                  </pic:spPr>
                </pic:pic>
              </a:graphicData>
            </a:graphic>
          </wp:inline>
        </w:drawing>
      </w:r>
    </w:p>
    <w:p>
      <w:pPr>
        <w:spacing w:after="360"/>
      </w:pPr>
      <w:r>
        <w:rPr>
          <w:i/>
          <w:iCs/>
        </w:rPr>
        <w:t xml:space="preserve">Nota.</w:t>
      </w:r>
      <w:r>
        <w:t xml:space="preserve"> La dirección privada 10.20.0.6 (PC-VEN1) sale hacia afuera como 203.0.113.1.</w:t>
      </w:r>
    </w:p>
    <w:p>
      <w:pPr>
        <w:pStyle w:val="Heading1"/>
      </w:pPr>
      <w:bookmarkStart w:name="_Toc24" w:id="24"/>
      <w:r>
        <w:t xml:space="preserve">Problemas comunes y cómo arreglarlos</w:t>
      </w:r>
      <w:bookmarkEnd w:id="24"/>
    </w:p>
    <w:p>
      <w:pPr>
        <w:keepNext/>
      </w:pPr>
      <w:r>
        <w:rPr>
          <w:b/>
          <w:bCs/>
        </w:rPr>
        <w:t xml:space="preserve">Tabla 11</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12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12</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dieron el resultado esperado y quedaron registradas con capturas.</w:t>
      </w:r>
    </w:p>
    <w:p>
      <w:pPr>
        <w:ind w:firstLine="720"/>
      </w:pPr>
      <w:r>
        <w:t xml:space="preserve">En relación con los objetivos, el análisis del contexto definió los requisitos de la red; el plan VLSM de la Tabla 4 cubre la demanda de 300 equipos y deja libres 20 direcciones al final del bloque; y la Tabla 12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12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20"/>
        <w:gridCol w:w="2150"/>
        <w:gridCol w:w="1000"/>
        <w:gridCol w:w="820"/>
        <w:gridCol w:w="1750"/>
        <w:gridCol w:w="1200"/>
        <w:gridCol w:w="1100"/>
        <w:gridCol w:w="920"/>
      </w:tblGrid>
      <w:tr>
        <w:trPr>
          <w:tblHeader/>
        </w:trPr>
        <w:tc>
          <w:tcPr>
            <w:tcW w:type="dxa" w:w="4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1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1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 Id="rIdFig6" Type="http://schemas.openxmlformats.org/officeDocument/2006/relationships/image" Target="media/08_rcrg_rutas.png"/><Relationship Id="rIdFig2" Type="http://schemas.openxmlformats.org/officeDocument/2006/relationships/image" Target="media/02_hwic.png"/><Relationship Id="rIdFig3" Type="http://schemas.openxmlformats.org/officeDocument/2006/relationships/image" Target="media/01_topologia.png"/><Relationship Id="rIdFig4" Type="http://schemas.openxmlformats.org/officeDocument/2006/relationships/image" Target="media/05_rcrg_ip_int_brief.png"/><Relationship Id="rIdFig5" Type="http://schemas.openxmlformats.org/officeDocument/2006/relationships/image" Target="media/09_rp1.png"/><Relationship Id="rIdFig7" Type="http://schemas.openxmlformats.org/officeDocument/2006/relationships/image" Target="media/12_pcven1_dhcp.png"/><Relationship Id="rIdFig8" Type="http://schemas.openxmlformats.org/officeDocument/2006/relationships/image" Target="media/11_dhcp_binding.png"/><Relationship Id="rIdFig9" Type="http://schemas.openxmlformats.org/officeDocument/2006/relationships/image" Target="media/13_ping_gateway.png"/><Relationship Id="rIdFig10" Type="http://schemas.openxmlformats.org/officeDocument/2006/relationships/image" Target="media/14_ping_ope1.png"/><Relationship Id="rIdFig11" Type="http://schemas.openxmlformats.org/officeDocument/2006/relationships/image" Target="media/15_ping_srvti.png"/><Relationship Id="rIdFig12" Type="http://schemas.openxmlformats.org/officeDocument/2006/relationships/image" Target="media/16_ping_cap_fin.png"/><Relationship Id="rIdFig13" Type="http://schemas.openxmlformats.org/officeDocument/2006/relationships/image" Target="media/17_ping_externo.png"/><Relationship Id="rIdFig14" Type="http://schemas.openxmlformats.org/officeDocument/2006/relationships/image" Target="media/18_na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