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A1324" w14:textId="01EC5E88" w:rsidR="00277317" w:rsidRDefault="00277317" w:rsidP="005E7C1C">
      <w:pPr>
        <w:keepNext/>
      </w:pPr>
      <w:r>
        <w:rPr>
          <w:noProof/>
        </w:rPr>
        <w:drawing>
          <wp:anchor distT="0" distB="0" distL="114300" distR="114300" simplePos="0" relativeHeight="251661312" behindDoc="0" locked="0" layoutInCell="1" allowOverlap="1" wp14:anchorId="3A9F1A8B" wp14:editId="5A0C144A">
            <wp:simplePos x="0" y="0"/>
            <wp:positionH relativeFrom="column">
              <wp:posOffset>449</wp:posOffset>
            </wp:positionH>
            <wp:positionV relativeFrom="paragraph">
              <wp:posOffset>145506</wp:posOffset>
            </wp:positionV>
            <wp:extent cx="6206066" cy="3403327"/>
            <wp:effectExtent l="0" t="0" r="444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6066" cy="3403327"/>
                    </a:xfrm>
                    <a:prstGeom prst="rect">
                      <a:avLst/>
                    </a:prstGeom>
                    <a:noFill/>
                    <a:ln>
                      <a:noFill/>
                    </a:ln>
                  </pic:spPr>
                </pic:pic>
              </a:graphicData>
            </a:graphic>
          </wp:anchor>
        </w:drawing>
      </w:r>
    </w:p>
    <w:p w14:paraId="4E11A988" w14:textId="2070E0A0" w:rsidR="00277317" w:rsidRDefault="00277317" w:rsidP="005E7C1C">
      <w:pPr>
        <w:pStyle w:val="Caption"/>
        <w:jc w:val="both"/>
        <w:rPr>
          <w:rFonts w:ascii="Times New Roman" w:hAnsi="Times New Roman" w:cs="Times New Roman"/>
          <w:sz w:val="24"/>
          <w:szCs w:val="24"/>
        </w:rPr>
      </w:pPr>
    </w:p>
    <w:p w14:paraId="53B549BA" w14:textId="77777777" w:rsidR="00277317" w:rsidRDefault="00277317" w:rsidP="005E7C1C">
      <w:pPr>
        <w:pStyle w:val="Caption"/>
        <w:jc w:val="both"/>
        <w:rPr>
          <w:rFonts w:ascii="Times New Roman" w:hAnsi="Times New Roman" w:cs="Times New Roman"/>
          <w:sz w:val="24"/>
          <w:szCs w:val="24"/>
        </w:rPr>
      </w:pPr>
    </w:p>
    <w:p w14:paraId="0DAFBBC4" w14:textId="5607A7FC" w:rsidR="00277317" w:rsidRDefault="00277317" w:rsidP="005E7C1C">
      <w:pPr>
        <w:pStyle w:val="Caption"/>
        <w:jc w:val="both"/>
        <w:rPr>
          <w:rFonts w:ascii="Times New Roman" w:hAnsi="Times New Roman" w:cs="Times New Roman"/>
          <w:sz w:val="24"/>
          <w:szCs w:val="24"/>
        </w:rPr>
      </w:pPr>
    </w:p>
    <w:p w14:paraId="392FC15E" w14:textId="7EDF652C" w:rsidR="00277317" w:rsidRDefault="00277317" w:rsidP="005E7C1C">
      <w:pPr>
        <w:pStyle w:val="Caption"/>
        <w:jc w:val="both"/>
        <w:rPr>
          <w:rFonts w:ascii="Times New Roman" w:hAnsi="Times New Roman" w:cs="Times New Roman"/>
          <w:sz w:val="24"/>
          <w:szCs w:val="24"/>
        </w:rPr>
      </w:pPr>
    </w:p>
    <w:p w14:paraId="17E774D0" w14:textId="77777777" w:rsidR="00277317" w:rsidRDefault="00277317" w:rsidP="005E7C1C">
      <w:pPr>
        <w:pStyle w:val="Caption"/>
        <w:jc w:val="both"/>
        <w:rPr>
          <w:rFonts w:ascii="Times New Roman" w:hAnsi="Times New Roman" w:cs="Times New Roman"/>
          <w:sz w:val="24"/>
          <w:szCs w:val="24"/>
        </w:rPr>
      </w:pPr>
    </w:p>
    <w:p w14:paraId="2FFD56B8" w14:textId="77777777" w:rsidR="00277317" w:rsidRDefault="00277317" w:rsidP="005E7C1C">
      <w:pPr>
        <w:pStyle w:val="Caption"/>
        <w:jc w:val="both"/>
        <w:rPr>
          <w:rFonts w:ascii="Times New Roman" w:hAnsi="Times New Roman" w:cs="Times New Roman"/>
          <w:sz w:val="24"/>
          <w:szCs w:val="24"/>
        </w:rPr>
      </w:pPr>
    </w:p>
    <w:p w14:paraId="55B2B65F" w14:textId="656554B8" w:rsidR="00277317" w:rsidRDefault="00277317" w:rsidP="005E7C1C">
      <w:pPr>
        <w:pStyle w:val="Caption"/>
        <w:jc w:val="both"/>
        <w:rPr>
          <w:rFonts w:ascii="Times New Roman" w:hAnsi="Times New Roman" w:cs="Times New Roman"/>
          <w:sz w:val="24"/>
          <w:szCs w:val="24"/>
        </w:rPr>
      </w:pPr>
    </w:p>
    <w:p w14:paraId="7DBEA889" w14:textId="77777777" w:rsidR="00277317" w:rsidRDefault="00277317" w:rsidP="005E7C1C">
      <w:pPr>
        <w:pStyle w:val="Caption"/>
        <w:jc w:val="both"/>
        <w:rPr>
          <w:rFonts w:ascii="Times New Roman" w:hAnsi="Times New Roman" w:cs="Times New Roman"/>
          <w:sz w:val="24"/>
          <w:szCs w:val="24"/>
        </w:rPr>
      </w:pPr>
    </w:p>
    <w:p w14:paraId="442160D8" w14:textId="77777777" w:rsidR="00277317" w:rsidRDefault="00277317" w:rsidP="005E7C1C">
      <w:pPr>
        <w:pStyle w:val="Caption"/>
        <w:jc w:val="both"/>
        <w:rPr>
          <w:rFonts w:ascii="Times New Roman" w:hAnsi="Times New Roman" w:cs="Times New Roman"/>
          <w:sz w:val="24"/>
          <w:szCs w:val="24"/>
        </w:rPr>
      </w:pPr>
    </w:p>
    <w:p w14:paraId="559C4525" w14:textId="77777777" w:rsidR="00277317" w:rsidRDefault="00277317" w:rsidP="005E7C1C">
      <w:pPr>
        <w:pStyle w:val="Caption"/>
        <w:jc w:val="both"/>
        <w:rPr>
          <w:rFonts w:ascii="Times New Roman" w:hAnsi="Times New Roman" w:cs="Times New Roman"/>
          <w:sz w:val="24"/>
          <w:szCs w:val="24"/>
        </w:rPr>
      </w:pPr>
    </w:p>
    <w:p w14:paraId="404A3897" w14:textId="77777777" w:rsidR="00277317" w:rsidRDefault="00277317" w:rsidP="005E7C1C">
      <w:pPr>
        <w:pStyle w:val="Caption"/>
        <w:jc w:val="both"/>
        <w:rPr>
          <w:rFonts w:ascii="Times New Roman" w:hAnsi="Times New Roman" w:cs="Times New Roman"/>
          <w:sz w:val="24"/>
          <w:szCs w:val="24"/>
        </w:rPr>
      </w:pPr>
    </w:p>
    <w:p w14:paraId="6BEA155A" w14:textId="67158989" w:rsidR="005E7C1C" w:rsidRPr="004A24BC" w:rsidRDefault="005E7C1C" w:rsidP="005E7C1C">
      <w:pPr>
        <w:pStyle w:val="Caption"/>
        <w:jc w:val="both"/>
        <w:rPr>
          <w:rFonts w:ascii="Arial" w:hAnsi="Arial" w:cs="Arial"/>
          <w:i w:val="0"/>
          <w:iCs w:val="0"/>
          <w:color w:val="auto"/>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E7C1C">
        <w:rPr>
          <w:rFonts w:ascii="Times New Roman" w:hAnsi="Times New Roman" w:cs="Times New Roman"/>
          <w:sz w:val="24"/>
          <w:szCs w:val="24"/>
        </w:rPr>
        <w:fldChar w:fldCharType="end"/>
      </w:r>
      <w:r w:rsidRPr="005E7C1C">
        <w:rPr>
          <w:rFonts w:ascii="Times New Roman" w:hAnsi="Times New Roman" w:cs="Times New Roman"/>
          <w:sz w:val="24"/>
          <w:szCs w:val="24"/>
        </w:rPr>
        <w:t xml:space="preserve"> </w:t>
      </w:r>
      <w:r>
        <w:rPr>
          <w:rFonts w:ascii="Times New Roman" w:hAnsi="Times New Roman" w:cs="Times New Roman"/>
          <w:i w:val="0"/>
          <w:iCs w:val="0"/>
          <w:color w:val="auto"/>
          <w:sz w:val="24"/>
          <w:szCs w:val="24"/>
        </w:rPr>
        <w:t>Insight</w:t>
      </w:r>
      <w:r w:rsidRPr="005E7C1C">
        <w:rPr>
          <w:rFonts w:ascii="Times New Roman" w:hAnsi="Times New Roman" w:cs="Times New Roman"/>
          <w:i w:val="0"/>
          <w:iCs w:val="0"/>
          <w:color w:val="auto"/>
          <w:sz w:val="24"/>
          <w:szCs w:val="24"/>
        </w:rPr>
        <w:t xml:space="preserve"> of the sampling test performed for each filtering case on each dataset. The graph shows the distribution of the 100.000 calculated FDR values of the random subsets taken from the Frontiers dataset in a specific filtering case. The bell-shaped curve evenly distributes around the mean value corresponding to the FDR calculated from the dataset without applying any filters. The dashed black line pin points the FDR originally computed </w:t>
      </w:r>
      <w:r>
        <w:rPr>
          <w:rFonts w:ascii="Times New Roman" w:hAnsi="Times New Roman" w:cs="Times New Roman"/>
          <w:i w:val="0"/>
          <w:iCs w:val="0"/>
          <w:color w:val="auto"/>
          <w:sz w:val="24"/>
          <w:szCs w:val="24"/>
        </w:rPr>
        <w:t>in the filtering case under scrutiny.</w:t>
      </w:r>
    </w:p>
    <w:p w14:paraId="50C9173A" w14:textId="0E4206E6" w:rsidR="005E7C1C" w:rsidRPr="005E7C1C" w:rsidRDefault="005E7C1C" w:rsidP="005E7C1C">
      <w:pPr>
        <w:pStyle w:val="Caption"/>
        <w:rPr>
          <w:rFonts w:ascii="Times New Roman" w:hAnsi="Times New Roman" w:cs="Times New Roman"/>
          <w:i w:val="0"/>
          <w:iCs w:val="0"/>
          <w:sz w:val="24"/>
          <w:szCs w:val="24"/>
        </w:rPr>
      </w:pPr>
    </w:p>
    <w:p w14:paraId="3F8FB9E0" w14:textId="77777777" w:rsidR="005E7C1C" w:rsidRDefault="005E7C1C"/>
    <w:p w14:paraId="67F0DEC8" w14:textId="6A43AF0E" w:rsidR="005E7C1C" w:rsidRDefault="005E7C1C">
      <w:r>
        <w:rPr>
          <w:noProof/>
        </w:rPr>
        <w:lastRenderedPageBreak/>
        <w:drawing>
          <wp:anchor distT="0" distB="0" distL="114300" distR="114300" simplePos="0" relativeHeight="251658240" behindDoc="1" locked="0" layoutInCell="1" allowOverlap="1" wp14:anchorId="5C6D37AC" wp14:editId="44741BBA">
            <wp:simplePos x="0" y="0"/>
            <wp:positionH relativeFrom="column">
              <wp:posOffset>-321945</wp:posOffset>
            </wp:positionH>
            <wp:positionV relativeFrom="paragraph">
              <wp:posOffset>0</wp:posOffset>
            </wp:positionV>
            <wp:extent cx="7315200" cy="9922510"/>
            <wp:effectExtent l="0" t="0" r="0" b="2540"/>
            <wp:wrapTight wrapText="bothSides">
              <wp:wrapPolygon edited="0">
                <wp:start x="0" y="0"/>
                <wp:lineTo x="0" y="21564"/>
                <wp:lineTo x="21544" y="21564"/>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15200" cy="99225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1017DE" w14:textId="0FFCB037" w:rsidR="005E7C1C" w:rsidRDefault="00D02286">
      <w:r>
        <w:rPr>
          <w:noProof/>
        </w:rPr>
        <w:lastRenderedPageBreak/>
        <mc:AlternateContent>
          <mc:Choice Requires="wps">
            <w:drawing>
              <wp:anchor distT="0" distB="0" distL="114300" distR="114300" simplePos="0" relativeHeight="251660288" behindDoc="1" locked="0" layoutInCell="1" allowOverlap="1" wp14:anchorId="16A91AF8" wp14:editId="663B0030">
                <wp:simplePos x="0" y="0"/>
                <wp:positionH relativeFrom="column">
                  <wp:posOffset>-211878</wp:posOffset>
                </wp:positionH>
                <wp:positionV relativeFrom="paragraph">
                  <wp:posOffset>211</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4D2C6761" w14:textId="45638BA3"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Pr="005E7C1C">
                              <w:rPr>
                                <w:rFonts w:ascii="Times New Roman" w:hAnsi="Times New Roman" w:cs="Times New Roman"/>
                                <w:noProof/>
                                <w:sz w:val="24"/>
                                <w:szCs w:val="24"/>
                              </w:rPr>
                              <w:t>2</w:t>
                            </w:r>
                            <w:r w:rsidRPr="005E7C1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FoldX-obtained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a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Δfrequency/Δlog likelihood &lt; 0. </w:t>
                            </w:r>
                            <w:r>
                              <w:rPr>
                                <w:rFonts w:ascii="Times New Roman" w:hAnsi="Times New Roman" w:cs="Times New Roman"/>
                                <w:i w:val="0"/>
                                <w:iCs w:val="0"/>
                                <w:color w:val="auto"/>
                                <w:sz w:val="24"/>
                                <w:szCs w:val="24"/>
                              </w:rPr>
                              <w:t xml:space="preserve"> </w:t>
                            </w:r>
                            <w:r w:rsidR="00D02286">
                              <w:rPr>
                                <w:rFonts w:ascii="Times New Roman" w:hAnsi="Times New Roman" w:cs="Times New Roman"/>
                                <w:i w:val="0"/>
                                <w:iCs w:val="0"/>
                                <w:color w:val="auto"/>
                                <w:sz w:val="24"/>
                                <w:szCs w:val="24"/>
                              </w:rPr>
                              <w:t>Δfrequency/Δlog likelihood refers to the difference between the PSSM frequencies of a specific mutant and its WT counterpart. If Δfrequency/Δlog likelihood is higher than 0 it means that the mutant is more conserved in the alignment than the WT aminoacid.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 60 and 75. For both rates we than obtained alignments with three different identity rates: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91AF8" id="_x0000_t202" coordsize="21600,21600" o:spt="202" path="m,l,21600r21600,l21600,xe">
                <v:stroke joinstyle="miter"/>
                <v:path gradientshapeok="t" o:connecttype="rect"/>
              </v:shapetype>
              <v:shape id="Text Box 4" o:spid="_x0000_s1026" type="#_x0000_t202" style="position:absolute;margin-left:-16.7pt;margin-top:0;width:8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" stroked="f">
                <v:textbox style="mso-fit-shape-to-text:t" inset="0,0,0,0">
                  <w:txbxContent>
                    <w:p w14:paraId="4D2C6761" w14:textId="45638BA3"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Pr="005E7C1C">
                        <w:rPr>
                          <w:rFonts w:ascii="Times New Roman" w:hAnsi="Times New Roman" w:cs="Times New Roman"/>
                          <w:noProof/>
                          <w:sz w:val="24"/>
                          <w:szCs w:val="24"/>
                        </w:rPr>
                        <w:t>2</w:t>
                      </w:r>
                      <w:r w:rsidRPr="005E7C1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w:t>
                      </w:r>
                      <w:proofErr w:type="spellStart"/>
                      <w:r>
                        <w:rPr>
                          <w:rFonts w:ascii="Times New Roman" w:hAnsi="Times New Roman" w:cs="Times New Roman"/>
                          <w:i w:val="0"/>
                          <w:iCs w:val="0"/>
                          <w:color w:val="auto"/>
                          <w:sz w:val="24"/>
                          <w:szCs w:val="24"/>
                        </w:rPr>
                        <w:t>FoldX</w:t>
                      </w:r>
                      <w:proofErr w:type="spellEnd"/>
                      <w:r>
                        <w:rPr>
                          <w:rFonts w:ascii="Times New Roman" w:hAnsi="Times New Roman" w:cs="Times New Roman"/>
                          <w:i w:val="0"/>
                          <w:iCs w:val="0"/>
                          <w:color w:val="auto"/>
                          <w:sz w:val="24"/>
                          <w:szCs w:val="24"/>
                        </w:rPr>
                        <w:t xml:space="preserve">-obtained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w:t>
                      </w:r>
                      <w:proofErr w:type="gramStart"/>
                      <w:r w:rsidR="00D02286">
                        <w:rPr>
                          <w:rFonts w:ascii="Times New Roman" w:hAnsi="Times New Roman" w:cs="Times New Roman"/>
                          <w:i w:val="0"/>
                          <w:iCs w:val="0"/>
                          <w:color w:val="auto"/>
                          <w:sz w:val="24"/>
                          <w:szCs w:val="24"/>
                        </w:rPr>
                        <w:t>a</w:t>
                      </w:r>
                      <w:proofErr w:type="gramEnd"/>
                      <w:r w:rsidR="00D02286">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&lt; 0. </w:t>
                      </w:r>
                      <w:r>
                        <w:rPr>
                          <w:rFonts w:ascii="Times New Roman" w:hAnsi="Times New Roman" w:cs="Times New Roman"/>
                          <w:i w:val="0"/>
                          <w:iCs w:val="0"/>
                          <w:color w:val="auto"/>
                          <w:sz w:val="24"/>
                          <w:szCs w:val="24"/>
                        </w:rPr>
                        <w:t xml:space="preserve">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refers to the difference between the PSSM frequencies of a specific mutant and its WT counterpart. If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 is higher than 0 it means that the mutant is more conserved in the alignment than the WT </w:t>
                      </w:r>
                      <w:proofErr w:type="spellStart"/>
                      <w:r w:rsidR="00D02286">
                        <w:rPr>
                          <w:rFonts w:ascii="Times New Roman" w:hAnsi="Times New Roman" w:cs="Times New Roman"/>
                          <w:i w:val="0"/>
                          <w:iCs w:val="0"/>
                          <w:color w:val="auto"/>
                          <w:sz w:val="24"/>
                          <w:szCs w:val="24"/>
                        </w:rPr>
                        <w:t>aminoacid</w:t>
                      </w:r>
                      <w:proofErr w:type="spellEnd"/>
                      <w:r w:rsidR="00D02286">
                        <w:rPr>
                          <w:rFonts w:ascii="Times New Roman" w:hAnsi="Times New Roman" w:cs="Times New Roman"/>
                          <w:i w:val="0"/>
                          <w:iCs w:val="0"/>
                          <w:color w:val="auto"/>
                          <w:sz w:val="24"/>
                          <w:szCs w:val="24"/>
                        </w:rPr>
                        <w:t>.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 60 and 75. For both rates we than obtained alignments with three different identity rates: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p>
                  </w:txbxContent>
                </v:textbox>
                <w10:wrap type="tight"/>
              </v:shape>
            </w:pict>
          </mc:Fallback>
        </mc:AlternateContent>
      </w:r>
    </w:p>
    <w:p w14:paraId="12A642EB" w14:textId="79240E00" w:rsidR="005E7C1C" w:rsidRDefault="005E7C1C"/>
    <w:sectPr w:rsidR="005E7C1C" w:rsidSect="005E7C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212"/>
    <w:rsid w:val="0004269E"/>
    <w:rsid w:val="00277317"/>
    <w:rsid w:val="005E7C1C"/>
    <w:rsid w:val="00642496"/>
    <w:rsid w:val="00677294"/>
    <w:rsid w:val="0070734A"/>
    <w:rsid w:val="00712C2B"/>
    <w:rsid w:val="00940757"/>
    <w:rsid w:val="00AD7674"/>
    <w:rsid w:val="00D02286"/>
    <w:rsid w:val="00D82B97"/>
    <w:rsid w:val="00E92C01"/>
    <w:rsid w:val="00F40212"/>
    <w:rsid w:val="00F570C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991F1"/>
  <w15:chartTrackingRefBased/>
  <w15:docId w15:val="{063E70F0-A7D4-4673-BF81-A1FD41BB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5E7C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Fre20</b:Tag>
    <b:SourceType>JournalArticle</b:SourceType>
    <b:Guid>{270C605A-EE82-4520-A9F0-9DC1095608C9}</b:Guid>
    <b:Author>
      <b:Author>
        <b:NameList>
          <b:Person>
            <b:Last>Frenz</b:Last>
            <b:First>Brandon</b:First>
          </b:Person>
          <b:Person>
            <b:Last>Lewis</b:Last>
            <b:First>Steven</b:First>
            <b:Middle>M.</b:Middle>
          </b:Person>
          <b:Person>
            <b:Last>King</b:Last>
            <b:First>Indigo</b:First>
          </b:Person>
          <b:Person>
            <b:Last>DiMaio</b:Last>
            <b:First>Frank</b:First>
          </b:Person>
          <b:Person>
            <b:Last>Park</b:Last>
            <b:First>Hahnbeom:</b:First>
            <b:Middle>Song,Yifan</b:Middle>
          </b:Person>
        </b:NameList>
      </b:Author>
    </b:Author>
    <b:Title>Prediction of Protein Mutational Free Energy: Benchmark and Sampling Improvements Increase Classification Accuracy</b:Title>
    <b:JournalName>frontiers in Bioengineering and Biotechnology</b:JournalName>
    <b:Year>2020</b:Year>
    <b:RefOrder>28</b:RefOrder>
  </b:Source>
</b:Sources>
</file>

<file path=customXml/itemProps1.xml><?xml version="1.0" encoding="utf-8"?>
<ds:datastoreItem xmlns:ds="http://schemas.openxmlformats.org/officeDocument/2006/customXml" ds:itemID="{228463E7-A412-4072-BCB7-11961D1A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Pages>
  <Words>80</Words>
  <Characters>456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7</cp:revision>
  <dcterms:created xsi:type="dcterms:W3CDTF">2021-05-11T12:52:00Z</dcterms:created>
  <dcterms:modified xsi:type="dcterms:W3CDTF">2021-05-17T07:59:00Z</dcterms:modified>
</cp:coreProperties>
</file>