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BED 106 — BUSINESS ANALYTICS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Mini Business Analytics Capstone Project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Checkpoint 2: Statistical Analysis, Performance Metrics, Initial Visualization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Midterm Period — Weeks 5–8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Title: RetailPulse — Poblacion Grocery Mart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Business Domain: Retail &amp; Sales Analytics</w:t>
      </w:r>
    </w:p>
    <w:p>
      <w:pPr>
        <w:spacing w:after="200" w:line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Group: Arowana Kings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Members and Roles: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1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Name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Angel Frederick Paredes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Developer / Project Lead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analysis, correlation testing, dashboard visualizations, report compilation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Jeeruz Marl Tabar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Support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data definitions used in descriptive statistics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Luke Kibry Jao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Support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 of pivot tables and chart outputs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Clein Lord Will Surigao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Review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Reviewed checkpoint write-up and final report</w:t>
            </w:r>
          </w:p>
        </w:tc>
      </w:tr>
    </w:tbl>
    <w:p>
      <w:pPr>
        <w:spacing w:after="20" w:before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Instructor: Jessie A. Melendres</w:t>
      </w:r>
    </w:p>
    <w:p>
      <w:pPr>
        <w:spacing w:after="20"/>
        <w:jc w:val="center"/>
      </w:pPr>
      <w:r>
        <w:rPr>
          <w:rFonts w:ascii="Arial" w:cs="Arial" w:eastAsia="Arial" w:hAnsi="Arial"/>
          <w:sz w:val="24"/>
          <w:szCs w:val="24"/>
        </w:rPr>
        <w:t xml:space="preserve">Talibon Polytechnic College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A.Y. 2026–2027 | 1st Semester</w:t>
      </w:r>
    </w:p>
    <w:p>
      <w:r>
        <w:br w:type="page"/>
      </w:r>
    </w:p>
    <w:p>
      <w:pPr>
        <w:pStyle w:val="Heading1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Section 1 — Statistical Analysis</w:t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Descriptive Statistics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Descriptive statistics were computed on total revenue and total units sold, aggregated per product (n = 40 products), using the cleaned poblacion_grocery_mart dataset (2,532 transactions, 10,087 line items).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80"/>
        <w:gridCol w:w="268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 per Product (₱)</w:t>
            </w:r>
          </w:p>
        </w:tc>
        <w:tc>
          <w:tcPr>
            <w:tcW w:type="dxa" w:w="26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Sold per Product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69,490.68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727.25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3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33,408.00</w:t>
            </w:r>
          </w:p>
        </w:tc>
        <w:tc>
          <w:tcPr>
            <w:tcW w:type="dxa" w:w="2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755.00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105,410.26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114.45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</w:t>
            </w:r>
          </w:p>
        </w:tc>
        <w:tc>
          <w:tcPr>
            <w:tcW w:type="dxa" w:w="3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2,328.00</w:t>
            </w:r>
          </w:p>
        </w:tc>
        <w:tc>
          <w:tcPr>
            <w:tcW w:type="dxa" w:w="2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371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589,000.00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894</w:t>
            </w:r>
          </w:p>
        </w:tc>
      </w:tr>
    </w:tbl>
    <w:p>
      <w:p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Outlier Identification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Outliers were flagged using two methods: a revenue z-score threshold of |z| &gt; 1.0, and the standard 1.5×IQR rule (Q1 = ₱21,380.50, Q3 = ₱62,605.50, IQR = ₱41,225.00). Five products were flagged as high-revenue outliers by at least one method; no low-revenue outliers were found by the z-score method, since the distribution is right-skewed (mean &gt; median) rather than having unusually low performers.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900"/>
        <w:gridCol w:w="1780"/>
        <w:gridCol w:w="198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 (₱)</w:t>
            </w:r>
          </w:p>
        </w:tc>
        <w:tc>
          <w:tcPr>
            <w:tcW w:type="dxa" w:w="17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Z-Score</w:t>
            </w:r>
          </w:p>
        </w:tc>
        <w:tc>
          <w:tcPr>
            <w:tcW w:type="dxa" w:w="19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25kg Sack (NFA)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589,000</w:t>
            </w:r>
          </w:p>
        </w:tc>
        <w:tc>
          <w:tcPr>
            <w:tcW w:type="dxa" w:w="17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4.93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outlier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Miguel Beer (case)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Beverages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296,400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19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outlier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Dinorado Rice 5kg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234,880</w:t>
            </w:r>
          </w:p>
        </w:tc>
        <w:tc>
          <w:tcPr>
            <w:tcW w:type="dxa" w:w="17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1.57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outlier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Sinandomeng Rice 5kg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204,880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19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outlier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Purefoods Hotdog 1kg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145,540</w:t>
            </w:r>
          </w:p>
        </w:tc>
        <w:tc>
          <w:tcPr>
            <w:tcW w:type="dxa" w:w="17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outlier (IQR only)</w:t>
            </w:r>
          </w:p>
        </w:tc>
      </w:tr>
    </w:tbl>
    <w:p>
      <w:pPr>
        <w:spacing w:after="240" w:lin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Table — Products flagged as revenue outliers (z-score and/or IQR method)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These five products are our anchor items — they generate disproportionately large revenue relative to the rest of the catalog, so stockouts on any of them would hit total sales much harder than a stockout on a typical product. Rice 25kg Sack (NFA) alone is nearly 5 standard deviations above the mean, meaning it behaves less like a normal product and more like a separate, high-priority category that deserves its own reorder point and safety stock buffer rather than being managed with the same rules as the other 35 products.</w:t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Correlation Analysis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Correlation coefficients (Pearson's r) were computed across the 40 products to test the relationship between sales performance and profitability: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28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Compared</w:t>
            </w:r>
          </w:p>
        </w:tc>
        <w:tc>
          <w:tcPr>
            <w:tcW w:type="dxa" w:w="22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Correlation (r)</w:t>
            </w:r>
          </w:p>
        </w:tc>
        <w:tc>
          <w:tcPr>
            <w:tcW w:type="dxa" w:w="32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Strength &amp; Direction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vs. Total Profit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strong positive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Units Sold vs. Total Profit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-0.58</w:t>
            </w:r>
          </w:p>
        </w:tc>
        <w:tc>
          <w:tcPr>
            <w:tcW w:type="dxa" w:w="3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vs. Profit Margin %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-0.71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negative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Units Sold vs. Profit Margin %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</w:t>
            </w:r>
          </w:p>
        </w:tc>
        <w:tc>
          <w:tcPr>
            <w:tcW w:type="dxa" w:w="32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94960" cy="3931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— Total revenue vs. total profit per product, with linear trend line (r = 0.97)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Not exactly — high-selling products do yield high profit in pesos (r = 0.97 between revenue and profit), but that's mostly because bigger sales volume produces a bigger absolute profit even at a thin margin. The margin percentage itself actually falls as revenue rises (r = -0.71 between revenue and profit margin %), so our best peso-profit earners, like Rice 25kg Sack, are not our most profitable products on a per-peso-of-sales basis — they win on volume, not on margin.</w:t>
      </w:r>
    </w:p>
    <w:p>
      <w:r>
        <w:br w:type="page"/>
      </w:r>
    </w:p>
    <w:p>
      <w:pPr>
        <w:pStyle w:val="Heading1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Section 2 — Performance Metrics</w:t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Top 10 Products by Revenue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2000"/>
        <w:gridCol w:w="1660"/>
        <w:gridCol w:w="184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27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Sold</w:t>
            </w:r>
          </w:p>
        </w:tc>
        <w:tc>
          <w:tcPr>
            <w:tcW w:type="dxa" w:w="184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(₱)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25kg Sack (NFA)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589,000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Miguel Beer (case)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Beverages</w:t>
            </w:r>
          </w:p>
        </w:tc>
        <w:tc>
          <w:tcPr>
            <w:tcW w:type="dxa" w:w="1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296,400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Dinorado Rice 5kg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734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234,880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Sinandomeng Rice 5kg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788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204,880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Purefoods Hotdog 1kg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766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145,540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Galunggong 1kg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754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124,410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Eggs (per tray of 30)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371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89,040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Magnolia Fresh Milk 1L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82,800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Argentina Corned Beef 380g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Canned Goods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826</w:t>
            </w:r>
          </w:p>
        </w:tc>
        <w:tc>
          <w:tcPr>
            <w:tcW w:type="dxa" w:w="18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78,470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Tide Powder Detergent 1kg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Supplies</w:t>
            </w:r>
          </w:p>
        </w:tc>
        <w:tc>
          <w:tcPr>
            <w:tcW w:type="dxa" w:w="1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741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68,172</w:t>
            </w:r>
          </w:p>
        </w:tc>
      </w:tr>
    </w:tbl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Category Contribution to Total Sales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Total store revenue across the 6-month period: ₱2,779,627. Total store profit: ₱615,376.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200"/>
        <w:gridCol w:w="20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 Sold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(₱)</w:t>
            </w:r>
          </w:p>
        </w:tc>
        <w:tc>
          <w:tcPr>
            <w:tcW w:type="dxa" w:w="20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of Total Sales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1,902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1,028,760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37.01%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3,251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491,710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17.69%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Beverages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3,495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427,095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15.37%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Canned Goods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3,963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203,989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7.34%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Supplies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3,883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178,717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6.43%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Care &amp; Hygiene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3,541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150,360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5.41%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Snacks &amp; Biscuits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3,547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127,248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4.58%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Condiments &amp; Seasoning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3,095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103,846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3.74%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 &amp; Bakery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2,413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67,902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2.44%</w:t>
            </w:r>
          </w:p>
        </w:tc>
      </w:tr>
    </w:tbl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Profitability by Category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Categories ranked by profit margin (total profit ÷ total revenue), rather than by raw sales volume: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000"/>
        <w:gridCol w:w="20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(₱)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 (₱)</w:t>
            </w:r>
          </w:p>
        </w:tc>
        <w:tc>
          <w:tcPr>
            <w:tcW w:type="dxa" w:w="20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 Margin 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Care &amp; Hygiene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150,360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50,786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33.78%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Supplies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178,717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52,585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29.42%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Canned Goods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203,989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58,699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28.78%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Condiments &amp; Seasoning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103,846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33,312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32.08%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Snacks &amp; Biscuits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127,248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38,951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30.61%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 &amp; Bakery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67,902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16,985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25.01%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Beverages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427,095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98,173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22.99%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 &amp; Dairy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491,710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106,445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21.65%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 &amp; Staples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1,028,760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159,440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15.50%</w:t>
            </w:r>
          </w:p>
        </w:tc>
      </w:tr>
    </w:tbl>
    <w:p>
      <w:pPr>
        <w:spacing w:after="240" w:lin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Table — Categories sorted by profit margin percentage, highest to lowest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Rice &amp; Staples is the clearest example of the high-volume, low-margin pattern — it brings in 37% of total revenue but converts only 15.50% of that into profit, the lowest margin of any category. Personal Care &amp; Hygiene is the opposite case: it's one of the smallest revenue contributors (5.41% of sales) but has the highest margin at 33.78%. This suggests the store shouldn't just chase revenue growth in Rice &amp; Staples — it should also actively promote and cross-sell higher-margin categories like Personal Care &amp; Hygiene and Household Supplies to improve overall profitability, not just overall sales.</w:t>
      </w:r>
    </w:p>
    <w:p>
      <w:r>
        <w:br w:type="page"/>
      </w:r>
    </w:p>
    <w:p>
      <w:pPr>
        <w:pStyle w:val="Heading1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Section 3 — Initial Visualization</w:t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TOP PRODUCT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Rice 25kg Sack (NFA)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₱589,000 revenue</w:t>
            </w:r>
          </w:p>
        </w:tc>
        <w:tc>
          <w:tcPr>
            <w:tcW w:type="dxa" w:w="3120"/>
            <w:shd w:fill="D9E2F3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TOP CATEGORY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Rice &amp; Staples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37.0% of total sales</w:t>
            </w:r>
          </w:p>
        </w:tc>
        <w:tc>
          <w:tcPr>
            <w:tcW w:type="dxa" w:w="3120"/>
            <w:shd w:fill="D9E2F3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TOTAL REVENUE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₱2,779,627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Jan – Jun 2026</w:t>
            </w:r>
          </w:p>
        </w:tc>
      </w:tr>
    </w:tbl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Top 10 Products — Bar Chart</w:t>
      </w:r>
    </w:p>
    <w:p>
      <w:pPr>
        <w:spacing w:after="80" w:before="120"/>
        <w:jc w:val="center"/>
      </w:pPr>
      <w:r>
        <w:drawing>
          <wp:inline distT="0" distB="0" distL="0" distR="0">
            <wp:extent cx="5486400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— Top 10 products ranked by total revenue</w:t>
      </w:r>
    </w:p>
    <w:p>
      <w:pPr>
        <w:pStyle w:val="Heading2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Category Revenue Share — Pie Chart</w:t>
      </w:r>
    </w:p>
    <w:p>
      <w:pPr>
        <w:spacing w:after="80" w:before="120"/>
        <w:jc w:val="center"/>
      </w:pPr>
      <w:r>
        <w:drawing>
          <wp:inline distT="0" distB="0" distL="0" distR="0">
            <wp:extent cx="47548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— Percentage contribution of each category to total store revenue</w:t>
      </w:r>
    </w:p>
    <w:p>
      <w:r>
        <w:br w:type="page"/>
      </w:r>
    </w:p>
    <w:p>
      <w:pPr>
        <w:pStyle w:val="Heading1"/>
        <w:spacing w:after="160" w:before="320" w:lin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Section 4 — Key Insights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Following the example format from the checkpoint brief (e.g., "Technology contributes 45% of total revenue, with Laptops being the single highest-selling product"), state 2–3 headline insights from your own analysis above.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Rice &amp; Staples contributes 37.01% of total store revenue (₱1,028,760), making it by far the single largest revenue-driving category in the store.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Despite generating the most revenue, Rice &amp; Staples has the lowest profit margin of any category at 15.50%, while Personal Care &amp; Hygiene earns the highest margin at 33.78% on far less revenue — showing that the store's top seller and its most profitable category are not the same thing.</w:t>
      </w:r>
    </w:p>
    <w:p>
      <w:pPr>
        <w:spacing w:after="200" w:line="360"/>
      </w:pPr>
      <w:r>
        <w:rPr>
          <w:rFonts w:ascii="Arial" w:cs="Arial" w:eastAsia="Arial" w:hAnsi="Arial"/>
          <w:sz w:val="22"/>
          <w:szCs w:val="22"/>
        </w:rPr>
        <w:t xml:space="preserve">The 5 flagged high-revenue outlier products come from only 3 categories (Rice &amp; Staples, Beverages, Frozen &amp; Dairy), suggesting the store's overall sales performance is heavily concentrated in a small number of anchor products rather than spread evenly across the full 40-product catalog.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RetailPulse — Checkpoint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eac3396377a99bdb1a865a831409df123245f2.png"/><Relationship Id="rId10" Type="http://schemas.openxmlformats.org/officeDocument/2006/relationships/image" Target="media/a74ca9954f2e8fb41f4f2647ee674474861b5e0f.png"/><Relationship Id="rId11" Type="http://schemas.openxmlformats.org/officeDocument/2006/relationships/image" Target="media/7738210522f85b72af1e33419be48b1268bafe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2026-08-22T13:22:40.789Z</dcterms:created>
  <dcterms:modified xsi:type="dcterms:W3CDTF">2026-08-22T13:22:40.789Z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