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line="360"/>
        <w:jc w:val="center"/>
      </w:pPr>
      <w:r>
        <w:rPr>
          <w:rFonts w:ascii="Arial" w:cs="Arial" w:eastAsia="Arial" w:hAnsi="Arial"/>
          <w:b/>
          <w:bCs/>
          <w:sz w:val="28"/>
          <w:szCs w:val="28"/>
        </w:rPr>
        <w:t xml:space="preserve">BED 106 — BUSINESS ANALYTICS</w:t>
      </w:r>
    </w:p>
    <w:p>
      <w:pPr>
        <w:spacing w:after="400" w:line="360"/>
        <w:jc w:val="center"/>
      </w:pPr>
      <w:r>
        <w:rPr>
          <w:rFonts w:ascii="Arial" w:cs="Arial" w:eastAsia="Arial" w:hAnsi="Arial"/>
          <w:sz w:val="24"/>
          <w:szCs w:val="24"/>
        </w:rPr>
        <w:t xml:space="preserve">Mini Business Analytics Capstone Project</w:t>
      </w:r>
    </w:p>
    <w:p>
      <w:pPr>
        <w:spacing w:after="100" w:line="360"/>
        <w:jc w:val="center"/>
      </w:pPr>
      <w:r>
        <w:rPr>
          <w:rFonts w:ascii="Arial" w:cs="Arial" w:eastAsia="Arial" w:hAnsi="Arial"/>
          <w:b/>
          <w:bCs/>
          <w:sz w:val="26"/>
          <w:szCs w:val="26"/>
        </w:rPr>
        <w:t xml:space="preserve">Checkpoint 1: Data Fundamentals &amp; SQL Querying</w:t>
      </w:r>
    </w:p>
    <w:p>
      <w:pPr>
        <w:spacing w:after="800" w:line="360"/>
        <w:jc w:val="center"/>
      </w:pPr>
      <w:r>
        <w:rPr>
          <w:rFonts w:ascii="Arial" w:cs="Arial" w:eastAsia="Arial" w:hAnsi="Arial"/>
          <w:i/>
          <w:iCs/>
          <w:sz w:val="22"/>
          <w:szCs w:val="22"/>
        </w:rPr>
        <w:t xml:space="preserve">Preliminary Period — Weeks 1–4</w:t>
      </w:r>
    </w:p>
    <w:p>
      <w:pPr>
        <w:spacing w:after="100" w:line="360"/>
        <w:jc w:val="center"/>
      </w:pPr>
      <w:r>
        <w:rPr>
          <w:rFonts w:ascii="Arial" w:cs="Arial" w:eastAsia="Arial" w:hAnsi="Arial"/>
          <w:b/>
          <w:bCs/>
          <w:sz w:val="24"/>
          <w:szCs w:val="24"/>
        </w:rPr>
        <w:t xml:space="preserve">Project Title: RetailPulse — Poblacion Grocery Mart</w:t>
      </w:r>
    </w:p>
    <w:p>
      <w:pPr>
        <w:spacing w:after="800" w:line="360"/>
        <w:jc w:val="center"/>
      </w:pPr>
      <w:r>
        <w:rPr>
          <w:rFonts w:ascii="Arial" w:cs="Arial" w:eastAsia="Arial" w:hAnsi="Arial"/>
          <w:sz w:val="22"/>
          <w:szCs w:val="22"/>
        </w:rPr>
        <w:t xml:space="preserve">Business Domain: Retail &amp; Sales Analytics</w:t>
      </w:r>
    </w:p>
    <w:p>
      <w:pPr>
        <w:spacing w:after="200" w:line="360"/>
        <w:jc w:val="center"/>
      </w:pPr>
      <w:r>
        <w:rPr>
          <w:rFonts w:ascii="Arial" w:cs="Arial" w:eastAsia="Arial" w:hAnsi="Arial"/>
          <w:b/>
          <w:bCs/>
          <w:sz w:val="22"/>
          <w:szCs w:val="22"/>
        </w:rPr>
        <w:t xml:space="preserve">Group: Arowana Kings</w:t>
      </w:r>
    </w:p>
    <w:p>
      <w:pPr>
        <w:spacing w:after="100" w:line="360"/>
      </w:pPr>
      <w:r>
        <w:rPr>
          <w:rFonts w:ascii="Arial" w:cs="Arial" w:eastAsia="Arial" w:hAnsi="Arial"/>
          <w:sz w:val="24"/>
          <w:szCs w:val="24"/>
        </w:rPr>
        <w:t xml:space="preserve"/>
      </w:r>
    </w:p>
    <w:p>
      <w:pPr>
        <w:spacing w:after="150" w:line="360"/>
      </w:pPr>
      <w:r>
        <w:rPr>
          <w:rFonts w:ascii="Arial" w:cs="Arial" w:eastAsia="Arial" w:hAnsi="Arial"/>
          <w:b/>
          <w:bCs/>
          <w:sz w:val="24"/>
          <w:szCs w:val="24"/>
        </w:rPr>
        <w:t xml:space="preserve">Group Members and Roles: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700"/>
      </w:tblGrid>
      <w:tr>
        <w:tc>
          <w:tcPr>
            <w:tcW w:type="dxa" w:w="2600"/>
            <w:shd w:fill="D9E2F3" w:val="clear"/>
            <w:vAlign w:val="center"/>
          </w:tcPr>
          <w:p>
            <w:r>
              <w:rPr>
                <w:rFonts w:ascii="Arial" w:cs="Arial" w:eastAsia="Arial" w:hAnsi="Arial"/>
                <w:b/>
                <w:bCs/>
                <w:sz w:val="20"/>
                <w:szCs w:val="20"/>
              </w:rPr>
              <w:t xml:space="preserve">Member Name</w:t>
            </w:r>
          </w:p>
        </w:tc>
        <w:tc>
          <w:tcPr>
            <w:tcW w:type="dxa" w:w="2200"/>
            <w:shd w:fill="D9E2F3" w:val="clear"/>
            <w:vAlign w:val="center"/>
          </w:tcPr>
          <w:p>
            <w:r>
              <w:rPr>
                <w:rFonts w:ascii="Arial" w:cs="Arial" w:eastAsia="Arial" w:hAnsi="Arial"/>
                <w:b/>
                <w:bCs/>
                <w:sz w:val="20"/>
                <w:szCs w:val="20"/>
              </w:rPr>
              <w:t xml:space="preserve">Role</w:t>
            </w:r>
          </w:p>
        </w:tc>
        <w:tc>
          <w:tcPr>
            <w:tcW w:type="dxa" w:w="4700"/>
            <w:shd w:fill="D9E2F3" w:val="clear"/>
            <w:vAlign w:val="center"/>
          </w:tcPr>
          <w:p>
            <w:r>
              <w:rPr>
                <w:rFonts w:ascii="Arial" w:cs="Arial" w:eastAsia="Arial" w:hAnsi="Arial"/>
                <w:b/>
                <w:bCs/>
                <w:sz w:val="20"/>
                <w:szCs w:val="20"/>
              </w:rPr>
              <w:t xml:space="preserve">Component</w:t>
            </w:r>
          </w:p>
        </w:tc>
      </w:tr>
      <w:tr>
        <w:tc>
          <w:tcPr>
            <w:tcW w:type="dxa" w:w="2600"/>
            <w:vAlign w:val="center"/>
          </w:tcPr>
          <w:p>
            <w:r>
              <w:rPr>
                <w:rFonts w:ascii="Arial" w:cs="Arial" w:eastAsia="Arial" w:hAnsi="Arial"/>
                <w:b w:val="false"/>
                <w:bCs w:val="false"/>
                <w:sz w:val="20"/>
                <w:szCs w:val="20"/>
              </w:rPr>
              <w:t xml:space="preserve">Angel Frederick Paredes</w:t>
            </w:r>
          </w:p>
        </w:tc>
        <w:tc>
          <w:tcPr>
            <w:tcW w:type="dxa" w:w="2200"/>
            <w:vAlign w:val="center"/>
          </w:tcPr>
          <w:p>
            <w:r>
              <w:rPr>
                <w:rFonts w:ascii="Arial" w:cs="Arial" w:eastAsia="Arial" w:hAnsi="Arial"/>
                <w:b w:val="false"/>
                <w:bCs w:val="false"/>
                <w:sz w:val="20"/>
                <w:szCs w:val="20"/>
              </w:rPr>
              <w:t xml:space="preserve">Lead Developer / Project Lead</w:t>
            </w:r>
          </w:p>
        </w:tc>
        <w:tc>
          <w:tcPr>
            <w:tcW w:type="dxa" w:w="4700"/>
            <w:vAlign w:val="center"/>
          </w:tcPr>
          <w:p>
            <w:r>
              <w:rPr>
                <w:rFonts w:ascii="Arial" w:cs="Arial" w:eastAsia="Arial" w:hAnsi="Arial"/>
                <w:b w:val="false"/>
                <w:bCs w:val="false"/>
                <w:sz w:val="20"/>
                <w:szCs w:val="20"/>
              </w:rPr>
              <w:t xml:space="preserve">Problem definition &amp; KPI design, data cleaning/transformation/loading, SQL query design &amp; database schema, dashboard design, testing &amp; documentation</w:t>
            </w:r>
          </w:p>
        </w:tc>
      </w:tr>
      <w:tr>
        <w:tc>
          <w:tcPr>
            <w:tcW w:type="dxa" w:w="2600"/>
            <w:vAlign w:val="center"/>
          </w:tcPr>
          <w:p>
            <w:r>
              <w:rPr>
                <w:rFonts w:ascii="Arial" w:cs="Arial" w:eastAsia="Arial" w:hAnsi="Arial"/>
                <w:b w:val="false"/>
                <w:bCs w:val="false"/>
                <w:sz w:val="20"/>
                <w:szCs w:val="20"/>
              </w:rPr>
              <w:t xml:space="preserve">Jeeruz Marl Tabar</w:t>
            </w:r>
          </w:p>
        </w:tc>
        <w:tc>
          <w:tcPr>
            <w:tcW w:type="dxa" w:w="2200"/>
            <w:vAlign w:val="center"/>
          </w:tcPr>
          <w:p>
            <w:r>
              <w:rPr>
                <w:rFonts w:ascii="Arial" w:cs="Arial" w:eastAsia="Arial" w:hAnsi="Arial"/>
                <w:b w:val="false"/>
                <w:bCs w:val="false"/>
                <w:sz w:val="20"/>
                <w:szCs w:val="20"/>
              </w:rPr>
              <w:t xml:space="preserve">Research Support</w:t>
            </w:r>
          </w:p>
        </w:tc>
        <w:tc>
          <w:tcPr>
            <w:tcW w:type="dxa" w:w="4700"/>
            <w:vAlign w:val="center"/>
          </w:tcPr>
          <w:p>
            <w:r>
              <w:rPr>
                <w:rFonts w:ascii="Arial" w:cs="Arial" w:eastAsia="Arial" w:hAnsi="Arial"/>
                <w:b w:val="false"/>
                <w:bCs w:val="false"/>
                <w:sz w:val="20"/>
                <w:szCs w:val="20"/>
              </w:rPr>
              <w:t xml:space="preserve">Compiled candidate datasets and reference sources; reviewed data definitions</w:t>
            </w:r>
          </w:p>
        </w:tc>
      </w:tr>
      <w:tr>
        <w:tc>
          <w:tcPr>
            <w:tcW w:type="dxa" w:w="2600"/>
            <w:vAlign w:val="center"/>
          </w:tcPr>
          <w:p>
            <w:r>
              <w:rPr>
                <w:rFonts w:ascii="Arial" w:cs="Arial" w:eastAsia="Arial" w:hAnsi="Arial"/>
                <w:b w:val="false"/>
                <w:bCs w:val="false"/>
                <w:sz w:val="20"/>
                <w:szCs w:val="20"/>
              </w:rPr>
              <w:t xml:space="preserve">Luke Kibry Jao</w:t>
            </w:r>
          </w:p>
        </w:tc>
        <w:tc>
          <w:tcPr>
            <w:tcW w:type="dxa" w:w="2200"/>
            <w:vAlign w:val="center"/>
          </w:tcPr>
          <w:p>
            <w:r>
              <w:rPr>
                <w:rFonts w:ascii="Arial" w:cs="Arial" w:eastAsia="Arial" w:hAnsi="Arial"/>
                <w:b w:val="false"/>
                <w:bCs w:val="false"/>
                <w:sz w:val="20"/>
                <w:szCs w:val="20"/>
              </w:rPr>
              <w:t xml:space="preserve">Testing Support</w:t>
            </w:r>
          </w:p>
        </w:tc>
        <w:tc>
          <w:tcPr>
            <w:tcW w:type="dxa" w:w="4700"/>
            <w:vAlign w:val="center"/>
          </w:tcPr>
          <w:p>
            <w:r>
              <w:rPr>
                <w:rFonts w:ascii="Arial" w:cs="Arial" w:eastAsia="Arial" w:hAnsi="Arial"/>
                <w:b w:val="false"/>
                <w:bCs w:val="false"/>
                <w:sz w:val="20"/>
                <w:szCs w:val="20"/>
              </w:rPr>
              <w:t xml:space="preserve">Manual testing of dashboard queries and outputs across sample scenarios</w:t>
            </w:r>
          </w:p>
        </w:tc>
      </w:tr>
      <w:tr>
        <w:tc>
          <w:tcPr>
            <w:tcW w:type="dxa" w:w="2600"/>
            <w:vAlign w:val="center"/>
          </w:tcPr>
          <w:p>
            <w:r>
              <w:rPr>
                <w:rFonts w:ascii="Arial" w:cs="Arial" w:eastAsia="Arial" w:hAnsi="Arial"/>
                <w:b w:val="false"/>
                <w:bCs w:val="false"/>
                <w:sz w:val="20"/>
                <w:szCs w:val="20"/>
              </w:rPr>
              <w:t xml:space="preserve">Clein Lord Will Surigao</w:t>
            </w:r>
          </w:p>
        </w:tc>
        <w:tc>
          <w:tcPr>
            <w:tcW w:type="dxa" w:w="2200"/>
            <w:vAlign w:val="center"/>
          </w:tcPr>
          <w:p>
            <w:r>
              <w:rPr>
                <w:rFonts w:ascii="Arial" w:cs="Arial" w:eastAsia="Arial" w:hAnsi="Arial"/>
                <w:b w:val="false"/>
                <w:bCs w:val="false"/>
                <w:sz w:val="20"/>
                <w:szCs w:val="20"/>
              </w:rPr>
              <w:t xml:space="preserve">Documentation Review</w:t>
            </w:r>
          </w:p>
        </w:tc>
        <w:tc>
          <w:tcPr>
            <w:tcW w:type="dxa" w:w="4700"/>
            <w:vAlign w:val="center"/>
          </w:tcPr>
          <w:p>
            <w:r>
              <w:rPr>
                <w:rFonts w:ascii="Arial" w:cs="Arial" w:eastAsia="Arial" w:hAnsi="Arial"/>
                <w:b w:val="false"/>
                <w:bCs w:val="false"/>
                <w:sz w:val="20"/>
                <w:szCs w:val="20"/>
              </w:rPr>
              <w:t xml:space="preserve">Reviewed checkpoint write-ups and the final report</w:t>
            </w:r>
          </w:p>
        </w:tc>
      </w:tr>
    </w:tbl>
    <w:p>
      <w:pPr>
        <w:spacing w:after="400" w:line="360"/>
      </w:pPr>
      <w:r>
        <w:rPr>
          <w:rFonts w:ascii="Arial" w:cs="Arial" w:eastAsia="Arial" w:hAnsi="Arial"/>
          <w:sz w:val="24"/>
          <w:szCs w:val="24"/>
        </w:rPr>
        <w:t xml:space="preserve"/>
      </w:r>
    </w:p>
    <w:p>
      <w:pPr>
        <w:spacing w:after="100" w:line="360"/>
        <w:jc w:val="center"/>
      </w:pPr>
      <w:r>
        <w:rPr>
          <w:rFonts w:ascii="Arial" w:cs="Arial" w:eastAsia="Arial" w:hAnsi="Arial"/>
          <w:sz w:val="22"/>
          <w:szCs w:val="22"/>
        </w:rPr>
        <w:t xml:space="preserve">Instructor: Jessie A. Melendres</w:t>
      </w:r>
    </w:p>
    <w:p>
      <w:pPr>
        <w:spacing w:after="100" w:line="360"/>
        <w:jc w:val="center"/>
      </w:pPr>
      <w:r>
        <w:rPr>
          <w:rFonts w:ascii="Arial" w:cs="Arial" w:eastAsia="Arial" w:hAnsi="Arial"/>
          <w:sz w:val="22"/>
          <w:szCs w:val="22"/>
        </w:rPr>
        <w:t xml:space="preserve">Talibon Polytechnic College</w:t>
      </w:r>
    </w:p>
    <w:p>
      <w:pPr>
        <w:spacing w:line="360"/>
        <w:jc w:val="center"/>
      </w:pPr>
      <w:r>
        <w:rPr>
          <w:rFonts w:ascii="Arial" w:cs="Arial" w:eastAsia="Arial" w:hAnsi="Arial"/>
          <w:sz w:val="22"/>
          <w:szCs w:val="22"/>
        </w:rPr>
        <w:t xml:space="preserve">A.Y. 2026–2027 | 1st Semester</w:t>
      </w:r>
    </w:p>
    <w:p>
      <w:r>
        <w:br w:type="page"/>
      </w:r>
    </w:p>
    <w:p>
      <w:pPr>
        <w:pStyle w:val="Heading1"/>
        <w:spacing w:after="200" w:before="300" w:line="360"/>
      </w:pPr>
      <w:r>
        <w:rPr>
          <w:rFonts w:ascii="Arial" w:cs="Arial" w:eastAsia="Arial" w:hAnsi="Arial"/>
          <w:b/>
          <w:bCs/>
        </w:rPr>
        <w:t xml:space="preserve">Task 1.1 — Business Problem Statement</w:t>
      </w:r>
    </w:p>
    <w:p>
      <w:pPr>
        <w:pStyle w:val="Heading2"/>
        <w:spacing w:after="200" w:before="300" w:line="360"/>
      </w:pPr>
      <w:r>
        <w:rPr>
          <w:rFonts w:ascii="Arial" w:cs="Arial" w:eastAsia="Arial" w:hAnsi="Arial"/>
          <w:b/>
          <w:bCs/>
        </w:rPr>
        <w:t xml:space="preserve">Business Domain and Problem</w:t>
      </w:r>
    </w:p>
    <w:p>
      <w:pPr>
        <w:spacing w:after="200" w:line="360"/>
      </w:pPr>
      <w:r>
        <w:rPr>
          <w:rFonts w:ascii="Arial" w:cs="Arial" w:eastAsia="Arial" w:hAnsi="Arial"/>
          <w:sz w:val="24"/>
          <w:szCs w:val="24"/>
        </w:rPr>
        <w:t xml:space="preserve">Domain: Retail &amp; Sales Analytics.</w:t>
      </w:r>
    </w:p>
    <w:p>
      <w:pPr>
        <w:spacing w:after="200" w:line="360"/>
      </w:pPr>
      <w:r>
        <w:rPr>
          <w:rFonts w:ascii="Arial" w:cs="Arial" w:eastAsia="Arial" w:hAnsi="Arial"/>
          <w:sz w:val="24"/>
          <w:szCs w:val="24"/>
        </w:rPr>
        <w:t xml:space="preserve">Business context: A grocery/supermarket-style retail store ("Poblacion Grocery Mart") operating in Poblacion, Talibon, Bohol — the commercial center of northern Bohol.</w:t>
      </w:r>
    </w:p>
    <w:p>
      <w:pPr>
        <w:spacing w:after="200" w:line="360"/>
      </w:pPr>
      <w:r>
        <w:rPr>
          <w:rFonts w:ascii="Arial" w:cs="Arial" w:eastAsia="Arial" w:hAnsi="Arial"/>
          <w:sz w:val="24"/>
          <w:szCs w:val="24"/>
        </w:rPr>
        <w:t xml:space="preserve">Problem: Grocery stores carry dozens of products across many categories, but without structured sales analysis, owners often cannot tell which categories actually drive revenue versus which merely occupy shelf space. Restocking, promotion, and pricing decisions end up based on intuition rather than data.</w:t>
      </w:r>
    </w:p>
    <w:p>
      <w:pPr>
        <w:pStyle w:val="Heading2"/>
        <w:spacing w:after="200" w:before="300" w:line="360"/>
      </w:pPr>
      <w:r>
        <w:rPr>
          <w:rFonts w:ascii="Arial" w:cs="Arial" w:eastAsia="Arial" w:hAnsi="Arial"/>
          <w:b/>
          <w:bCs/>
        </w:rPr>
        <w:t xml:space="preserve">Why This Problem Matters</w:t>
      </w:r>
    </w:p>
    <w:p>
      <w:pPr>
        <w:spacing w:after="200" w:line="360"/>
      </w:pPr>
      <w:r>
        <w:rPr>
          <w:rFonts w:ascii="Arial" w:cs="Arial" w:eastAsia="Arial" w:hAnsi="Arial"/>
          <w:sz w:val="22"/>
          <w:szCs w:val="22"/>
        </w:rPr>
        <w:t xml:space="preserve">For a small neighborhood store like Poblacion Grocery Mart, margins are thin and shelf space is limited, so every peso tied up in slow-moving stock is a missed opportunity to stock something that actually sells. Without a clear picture of which categories and products drive revenue, the owner is left restocking, pricing, and promoting based on gut feel rather than what the transaction data actually shows. Turning raw sales records into clear insights can directly inform restocking schedules and pricing decisions, and can even highlight which products to feature during high-traffic days such as paydays — ultimately protecting the store’s cash flow and profitability. This approach is also not unique to one store; it reflects a data-driven decision-making process that other small retailers in Talibon and similar communities could apply to their own operations.</w:t>
      </w:r>
    </w:p>
    <w:p>
      <w:pPr>
        <w:pStyle w:val="Heading2"/>
        <w:spacing w:after="200" w:before="300" w:line="360"/>
      </w:pPr>
      <w:r>
        <w:rPr>
          <w:rFonts w:ascii="Arial" w:cs="Arial" w:eastAsia="Arial" w:hAnsi="Arial"/>
          <w:b/>
          <w:bCs/>
        </w:rPr>
        <w:t xml:space="preserve">Key Business Questions</w:t>
      </w:r>
    </w:p>
    <w:p>
      <w:pPr>
        <w:spacing w:after="200" w:line="360"/>
      </w:pPr>
      <w:r>
        <w:rPr>
          <w:rFonts w:ascii="Arial" w:cs="Arial" w:eastAsia="Arial" w:hAnsi="Arial"/>
          <w:sz w:val="24"/>
          <w:szCs w:val="24"/>
        </w:rPr>
        <w:t xml:space="preserve">1. Which product categories generate the most revenue for the store?</w:t>
      </w:r>
    </w:p>
    <w:p>
      <w:pPr>
        <w:spacing w:after="200" w:line="360"/>
      </w:pPr>
      <w:r>
        <w:rPr>
          <w:rFonts w:ascii="Arial" w:cs="Arial" w:eastAsia="Arial" w:hAnsi="Arial"/>
          <w:sz w:val="24"/>
          <w:szCs w:val="24"/>
        </w:rPr>
        <w:t xml:space="preserve">2. Are high-revenue categories driven by high prices, high sales volume, or both?</w:t>
      </w:r>
    </w:p>
    <w:p>
      <w:pPr>
        <w:spacing w:after="200" w:line="360"/>
      </w:pPr>
      <w:r>
        <w:rPr>
          <w:rFonts w:ascii="Arial" w:cs="Arial" w:eastAsia="Arial" w:hAnsi="Arial"/>
          <w:sz w:val="24"/>
          <w:szCs w:val="24"/>
        </w:rPr>
        <w:t xml:space="preserve">3. How does revenue behave across the 6-month period — are there noticeable peaks (e.g., payday, holidays)?</w:t>
      </w:r>
    </w:p>
    <w:p>
      <w:pPr>
        <w:pStyle w:val="Heading2"/>
        <w:spacing w:after="200" w:before="300" w:line="360"/>
      </w:pPr>
      <w:r>
        <w:rPr>
          <w:rFonts w:ascii="Arial" w:cs="Arial" w:eastAsia="Arial" w:hAnsi="Arial"/>
          <w:b/>
          <w:bCs/>
        </w:rPr>
        <w:t xml:space="preserve">Data Type and Source</w:t>
      </w:r>
    </w:p>
    <w:p>
      <w:pPr>
        <w:spacing w:after="200" w:line="360"/>
      </w:pPr>
      <w:r>
        <w:rPr>
          <w:rFonts w:ascii="Arial" w:cs="Arial" w:eastAsia="Arial" w:hAnsi="Arial"/>
          <w:sz w:val="24"/>
          <w:szCs w:val="24"/>
        </w:rPr>
        <w:t xml:space="preserve">A localized dataset, modeled on the structure and conventions of the Supermart Grocery Sales – Retail Analytics Dataset (Kaggle, 2022), built to represent 6 months of transaction data (January–June 2026) for a grocery store, structured as four relational tables (categories, products, transactions, transaction_items), totaling 9 categories, 40 products, 2,532 transactions, and 10,087 line items.</w:t>
      </w:r>
    </w:p>
    <w:p>
      <w:r>
        <w:br w:type="page"/>
      </w:r>
    </w:p>
    <w:p>
      <w:pPr>
        <w:pStyle w:val="Heading1"/>
        <w:spacing w:after="200" w:before="300" w:line="360"/>
      </w:pPr>
      <w:r>
        <w:rPr>
          <w:rFonts w:ascii="Arial" w:cs="Arial" w:eastAsia="Arial" w:hAnsi="Arial"/>
          <w:b/>
          <w:bCs/>
        </w:rPr>
        <w:t xml:space="preserve">Task 1.2 — Dataset Documentation (Data Source Report)</w:t>
      </w:r>
    </w:p>
    <w:p>
      <w:pPr>
        <w:pStyle w:val="Heading2"/>
        <w:spacing w:after="200" w:before="300" w:line="360"/>
      </w:pPr>
      <w:r>
        <w:rPr>
          <w:rFonts w:ascii="Arial" w:cs="Arial" w:eastAsia="Arial" w:hAnsi="Arial"/>
          <w:b/>
          <w:bCs/>
        </w:rPr>
        <w:t xml:space="preserve">Dataset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D9E2F3" w:val="clear"/>
            <w:vAlign w:val="center"/>
          </w:tcPr>
          <w:p>
            <w:r>
              <w:rPr>
                <w:rFonts w:ascii="Arial" w:cs="Arial" w:eastAsia="Arial" w:hAnsi="Arial"/>
                <w:b/>
                <w:bCs/>
                <w:sz w:val="20"/>
                <w:szCs w:val="20"/>
              </w:rPr>
              <w:t xml:space="preserve">Field</w:t>
            </w:r>
          </w:p>
        </w:tc>
        <w:tc>
          <w:tcPr>
            <w:tcW w:type="dxa" w:w="6500"/>
            <w:shd w:fill="D9E2F3" w:val="clear"/>
            <w:vAlign w:val="center"/>
          </w:tcPr>
          <w:p>
            <w:r>
              <w:rPr>
                <w:rFonts w:ascii="Arial" w:cs="Arial" w:eastAsia="Arial" w:hAnsi="Arial"/>
                <w:b/>
                <w:bCs/>
                <w:sz w:val="20"/>
                <w:szCs w:val="20"/>
              </w:rPr>
              <w:t xml:space="preserve">Value</w:t>
            </w:r>
          </w:p>
        </w:tc>
      </w:tr>
      <w:tr>
        <w:tc>
          <w:tcPr>
            <w:tcW w:type="dxa" w:w="3000"/>
            <w:vAlign w:val="center"/>
          </w:tcPr>
          <w:p>
            <w:r>
              <w:rPr>
                <w:rFonts w:ascii="Arial" w:cs="Arial" w:eastAsia="Arial" w:hAnsi="Arial"/>
                <w:b w:val="false"/>
                <w:bCs w:val="false"/>
                <w:sz w:val="20"/>
                <w:szCs w:val="20"/>
              </w:rPr>
              <w:t xml:space="preserve">Dataset name</w:t>
            </w:r>
          </w:p>
        </w:tc>
        <w:tc>
          <w:tcPr>
            <w:tcW w:type="dxa" w:w="6500"/>
            <w:vAlign w:val="center"/>
          </w:tcPr>
          <w:p>
            <w:r>
              <w:rPr>
                <w:rFonts w:ascii="Arial" w:cs="Arial" w:eastAsia="Arial" w:hAnsi="Arial"/>
                <w:b w:val="false"/>
                <w:bCs w:val="false"/>
                <w:sz w:val="20"/>
                <w:szCs w:val="20"/>
              </w:rPr>
              <w:t xml:space="preserve">Poblacion Grocery Mart Sales Dataset</w:t>
            </w:r>
          </w:p>
        </w:tc>
      </w:tr>
      <w:tr>
        <w:tc>
          <w:tcPr>
            <w:tcW w:type="dxa" w:w="3000"/>
            <w:vAlign w:val="center"/>
          </w:tcPr>
          <w:p>
            <w:r>
              <w:rPr>
                <w:rFonts w:ascii="Arial" w:cs="Arial" w:eastAsia="Arial" w:hAnsi="Arial"/>
                <w:b w:val="false"/>
                <w:bCs w:val="false"/>
                <w:sz w:val="20"/>
                <w:szCs w:val="20"/>
              </w:rPr>
              <w:t xml:space="preserve">Source</w:t>
            </w:r>
          </w:p>
        </w:tc>
        <w:tc>
          <w:tcPr>
            <w:tcW w:type="dxa" w:w="6500"/>
            <w:vAlign w:val="center"/>
          </w:tcPr>
          <w:p>
            <w:r>
              <w:rPr>
                <w:rFonts w:ascii="Arial" w:cs="Arial" w:eastAsia="Arial" w:hAnsi="Arial"/>
                <w:b w:val="false"/>
                <w:bCs w:val="false"/>
                <w:sz w:val="20"/>
                <w:szCs w:val="20"/>
              </w:rPr>
              <w:t xml:space="preserve">Structured following the Supermart Grocery Sales – Retail Analytics Dataset (Kaggle, 2022); localized for this project (see note below)</w:t>
            </w:r>
          </w:p>
        </w:tc>
      </w:tr>
      <w:tr>
        <w:tc>
          <w:tcPr>
            <w:tcW w:type="dxa" w:w="3000"/>
            <w:vAlign w:val="center"/>
          </w:tcPr>
          <w:p>
            <w:r>
              <w:rPr>
                <w:rFonts w:ascii="Arial" w:cs="Arial" w:eastAsia="Arial" w:hAnsi="Arial"/>
                <w:b w:val="false"/>
                <w:bCs w:val="false"/>
                <w:sz w:val="20"/>
                <w:szCs w:val="20"/>
              </w:rPr>
              <w:t xml:space="preserve">Date accessed/generated</w:t>
            </w:r>
          </w:p>
        </w:tc>
        <w:tc>
          <w:tcPr>
            <w:tcW w:type="dxa" w:w="6500"/>
            <w:vAlign w:val="center"/>
          </w:tcPr>
          <w:p>
            <w:r>
              <w:rPr>
                <w:rFonts w:ascii="Arial" w:cs="Arial" w:eastAsia="Arial" w:hAnsi="Arial"/>
                <w:b w:val="false"/>
                <w:bCs w:val="false"/>
                <w:sz w:val="20"/>
                <w:szCs w:val="20"/>
              </w:rPr>
              <w:t xml:space="preserve">August 22, 2026</w:t>
            </w:r>
          </w:p>
        </w:tc>
      </w:tr>
      <w:tr>
        <w:tc>
          <w:tcPr>
            <w:tcW w:type="dxa" w:w="3000"/>
            <w:vAlign w:val="center"/>
          </w:tcPr>
          <w:p>
            <w:r>
              <w:rPr>
                <w:rFonts w:ascii="Arial" w:cs="Arial" w:eastAsia="Arial" w:hAnsi="Arial"/>
                <w:b w:val="false"/>
                <w:bCs w:val="false"/>
                <w:sz w:val="20"/>
                <w:szCs w:val="20"/>
              </w:rPr>
              <w:t xml:space="preserve">License</w:t>
            </w:r>
          </w:p>
        </w:tc>
        <w:tc>
          <w:tcPr>
            <w:tcW w:type="dxa" w:w="6500"/>
            <w:vAlign w:val="center"/>
          </w:tcPr>
          <w:p>
            <w:r>
              <w:rPr>
                <w:rFonts w:ascii="Arial" w:cs="Arial" w:eastAsia="Arial" w:hAnsi="Arial"/>
                <w:b w:val="false"/>
                <w:bCs w:val="false"/>
                <w:sz w:val="20"/>
                <w:szCs w:val="20"/>
              </w:rPr>
              <w:t xml:space="preserve">Reference dataset (Kaggle) is CC0/Public Domain; localized data has no external license</w:t>
            </w:r>
          </w:p>
        </w:tc>
      </w:tr>
      <w:tr>
        <w:tc>
          <w:tcPr>
            <w:tcW w:type="dxa" w:w="3000"/>
            <w:vAlign w:val="center"/>
          </w:tcPr>
          <w:p>
            <w:r>
              <w:rPr>
                <w:rFonts w:ascii="Arial" w:cs="Arial" w:eastAsia="Arial" w:hAnsi="Arial"/>
                <w:b w:val="false"/>
                <w:bCs w:val="false"/>
                <w:sz w:val="20"/>
                <w:szCs w:val="20"/>
              </w:rPr>
              <w:t xml:space="preserve">Period covered</w:t>
            </w:r>
          </w:p>
        </w:tc>
        <w:tc>
          <w:tcPr>
            <w:tcW w:type="dxa" w:w="6500"/>
            <w:vAlign w:val="center"/>
          </w:tcPr>
          <w:p>
            <w:r>
              <w:rPr>
                <w:rFonts w:ascii="Arial" w:cs="Arial" w:eastAsia="Arial" w:hAnsi="Arial"/>
                <w:b w:val="false"/>
                <w:bCs w:val="false"/>
                <w:sz w:val="20"/>
                <w:szCs w:val="20"/>
              </w:rPr>
              <w:t xml:space="preserve">January 1, 2026 – June 30, 2026</w:t>
            </w:r>
          </w:p>
        </w:tc>
      </w:tr>
      <w:tr>
        <w:tc>
          <w:tcPr>
            <w:tcW w:type="dxa" w:w="3000"/>
            <w:vAlign w:val="center"/>
          </w:tcPr>
          <w:p>
            <w:r>
              <w:rPr>
                <w:rFonts w:ascii="Arial" w:cs="Arial" w:eastAsia="Arial" w:hAnsi="Arial"/>
                <w:b w:val="false"/>
                <w:bCs w:val="false"/>
                <w:sz w:val="20"/>
                <w:szCs w:val="20"/>
              </w:rPr>
              <w:t xml:space="preserve">Row counts</w:t>
            </w:r>
          </w:p>
        </w:tc>
        <w:tc>
          <w:tcPr>
            <w:tcW w:type="dxa" w:w="6500"/>
            <w:vAlign w:val="center"/>
          </w:tcPr>
          <w:p>
            <w:r>
              <w:rPr>
                <w:rFonts w:ascii="Arial" w:cs="Arial" w:eastAsia="Arial" w:hAnsi="Arial"/>
                <w:b w:val="false"/>
                <w:bCs w:val="false"/>
                <w:sz w:val="20"/>
                <w:szCs w:val="20"/>
              </w:rPr>
              <w:t xml:space="preserve">9 categories, 40 products, 2,532 transactions, 10,087 line items</w:t>
            </w:r>
          </w:p>
        </w:tc>
      </w:tr>
    </w:tbl>
    <w:p>
      <w:pPr>
        <w:spacing w:after="300" w:line="360"/>
      </w:pPr>
      <w:r>
        <w:rPr>
          <w:rFonts w:ascii="Arial" w:cs="Arial" w:eastAsia="Arial" w:hAnsi="Arial"/>
          <w:sz w:val="24"/>
          <w:szCs w:val="24"/>
        </w:rPr>
        <w:t xml:space="preserve">Note: Real point-of-sale data from a specific business in Poblacion, Talibon was not available with proper owner consent for this project. The dataset structure and category conventions follow the Supermart Grocery Sales – Retail Analytics Dataset (Kaggle, 2022, https://www.kaggle.com/datasets/mohamedharris/supermart-grocery-sales-retail-analytics-dataset). Transaction records were localized to reflect a small-town Bohol grocery store's context (product mix, PHP pricing, and payday/weekend demand patterns).</w:t>
      </w:r>
    </w:p>
    <w:p>
      <w:pPr>
        <w:pStyle w:val="Heading2"/>
        <w:spacing w:after="200" w:before="300" w:line="360"/>
      </w:pPr>
      <w:r>
        <w:rPr>
          <w:rFonts w:ascii="Arial" w:cs="Arial" w:eastAsia="Arial" w:hAnsi="Arial"/>
          <w:b/>
          <w:bCs/>
        </w:rPr>
        <w:t xml:space="preserve">Data Dictionary</w:t>
      </w:r>
    </w:p>
    <w:p>
      <w:pPr>
        <w:spacing w:after="100" w:line="360"/>
      </w:pPr>
      <w:r>
        <w:rPr>
          <w:rFonts w:ascii="Arial" w:cs="Arial" w:eastAsia="Arial" w:hAnsi="Arial"/>
          <w:b/>
          <w:bCs/>
          <w:sz w:val="24"/>
          <w:szCs w:val="24"/>
        </w:rPr>
        <w:t xml:space="preserve">Table: categories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000"/>
      </w:tblGrid>
      <w:tr>
        <w:tc>
          <w:tcPr>
            <w:tcW w:type="dxa" w:w="2500"/>
            <w:shd w:fill="D9E2F3" w:val="clear"/>
            <w:vAlign w:val="center"/>
          </w:tcPr>
          <w:p>
            <w:r>
              <w:rPr>
                <w:rFonts w:ascii="Arial" w:cs="Arial" w:eastAsia="Arial" w:hAnsi="Arial"/>
                <w:b/>
                <w:bCs/>
                <w:sz w:val="20"/>
                <w:szCs w:val="20"/>
              </w:rPr>
              <w:t xml:space="preserve">Column</w:t>
            </w:r>
          </w:p>
        </w:tc>
        <w:tc>
          <w:tcPr>
            <w:tcW w:type="dxa" w:w="2000"/>
            <w:shd w:fill="D9E2F3" w:val="clear"/>
            <w:vAlign w:val="center"/>
          </w:tcPr>
          <w:p>
            <w:r>
              <w:rPr>
                <w:rFonts w:ascii="Arial" w:cs="Arial" w:eastAsia="Arial" w:hAnsi="Arial"/>
                <w:b/>
                <w:bCs/>
                <w:sz w:val="20"/>
                <w:szCs w:val="20"/>
              </w:rPr>
              <w:t xml:space="preserve">Data Type</w:t>
            </w:r>
          </w:p>
        </w:tc>
        <w:tc>
          <w:tcPr>
            <w:tcW w:type="dxa" w:w="5000"/>
            <w:shd w:fill="D9E2F3" w:val="clear"/>
            <w:vAlign w:val="center"/>
          </w:tcPr>
          <w:p>
            <w:r>
              <w:rPr>
                <w:rFonts w:ascii="Arial" w:cs="Arial" w:eastAsia="Arial" w:hAnsi="Arial"/>
                <w:b/>
                <w:bCs/>
                <w:sz w:val="20"/>
                <w:szCs w:val="20"/>
              </w:rPr>
              <w:t xml:space="preserve">Description</w:t>
            </w:r>
          </w:p>
        </w:tc>
      </w:tr>
      <w:tr>
        <w:tc>
          <w:tcPr>
            <w:tcW w:type="dxa" w:w="2500"/>
            <w:vAlign w:val="center"/>
          </w:tcPr>
          <w:p>
            <w:r>
              <w:rPr>
                <w:rFonts w:ascii="Arial" w:cs="Arial" w:eastAsia="Arial" w:hAnsi="Arial"/>
                <w:b w:val="false"/>
                <w:bCs w:val="false"/>
                <w:sz w:val="20"/>
                <w:szCs w:val="20"/>
              </w:rPr>
              <w:t xml:space="preserve">category_id</w:t>
            </w:r>
          </w:p>
        </w:tc>
        <w:tc>
          <w:tcPr>
            <w:tcW w:type="dxa" w:w="2000"/>
            <w:vAlign w:val="center"/>
          </w:tcPr>
          <w:p>
            <w:r>
              <w:rPr>
                <w:rFonts w:ascii="Arial" w:cs="Arial" w:eastAsia="Arial" w:hAnsi="Arial"/>
                <w:b w:val="false"/>
                <w:bCs w:val="false"/>
                <w:sz w:val="20"/>
                <w:szCs w:val="20"/>
              </w:rPr>
              <w:t xml:space="preserve">INT</w:t>
            </w:r>
          </w:p>
        </w:tc>
        <w:tc>
          <w:tcPr>
            <w:tcW w:type="dxa" w:w="5000"/>
            <w:vAlign w:val="center"/>
          </w:tcPr>
          <w:p>
            <w:r>
              <w:rPr>
                <w:rFonts w:ascii="Arial" w:cs="Arial" w:eastAsia="Arial" w:hAnsi="Arial"/>
                <w:b w:val="false"/>
                <w:bCs w:val="false"/>
                <w:sz w:val="20"/>
                <w:szCs w:val="20"/>
              </w:rPr>
              <w:t xml:space="preserve">Unique identifier for a product category</w:t>
            </w:r>
          </w:p>
        </w:tc>
      </w:tr>
      <w:tr>
        <w:tc>
          <w:tcPr>
            <w:tcW w:type="dxa" w:w="2500"/>
            <w:vAlign w:val="center"/>
          </w:tcPr>
          <w:p>
            <w:r>
              <w:rPr>
                <w:rFonts w:ascii="Arial" w:cs="Arial" w:eastAsia="Arial" w:hAnsi="Arial"/>
                <w:b w:val="false"/>
                <w:bCs w:val="false"/>
                <w:sz w:val="20"/>
                <w:szCs w:val="20"/>
              </w:rPr>
              <w:t xml:space="preserve">category_name</w:t>
            </w:r>
          </w:p>
        </w:tc>
        <w:tc>
          <w:tcPr>
            <w:tcW w:type="dxa" w:w="2000"/>
            <w:vAlign w:val="center"/>
          </w:tcPr>
          <w:p>
            <w:r>
              <w:rPr>
                <w:rFonts w:ascii="Arial" w:cs="Arial" w:eastAsia="Arial" w:hAnsi="Arial"/>
                <w:b w:val="false"/>
                <w:bCs w:val="false"/>
                <w:sz w:val="20"/>
                <w:szCs w:val="20"/>
              </w:rPr>
              <w:t xml:space="preserve">VARCHAR(50)</w:t>
            </w:r>
          </w:p>
        </w:tc>
        <w:tc>
          <w:tcPr>
            <w:tcW w:type="dxa" w:w="5000"/>
            <w:vAlign w:val="center"/>
          </w:tcPr>
          <w:p>
            <w:r>
              <w:rPr>
                <w:rFonts w:ascii="Arial" w:cs="Arial" w:eastAsia="Arial" w:hAnsi="Arial"/>
                <w:b w:val="false"/>
                <w:bCs w:val="false"/>
                <w:sz w:val="20"/>
                <w:szCs w:val="20"/>
              </w:rPr>
              <w:t xml:space="preserve">Name of the category (e.g., "Rice &amp; Staples")</w:t>
            </w:r>
          </w:p>
        </w:tc>
      </w:tr>
    </w:tbl>
    <w:p>
      <w:pPr>
        <w:spacing w:after="100" w:line="360"/>
      </w:pPr>
      <w:r>
        <w:rPr>
          <w:rFonts w:ascii="Arial" w:cs="Arial" w:eastAsia="Arial" w:hAnsi="Arial"/>
          <w:b/>
          <w:bCs/>
          <w:sz w:val="24"/>
          <w:szCs w:val="24"/>
        </w:rPr>
        <w:t xml:space="preserve">Table: products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000"/>
      </w:tblGrid>
      <w:tr>
        <w:tc>
          <w:tcPr>
            <w:tcW w:type="dxa" w:w="2500"/>
            <w:shd w:fill="D9E2F3" w:val="clear"/>
            <w:vAlign w:val="center"/>
          </w:tcPr>
          <w:p>
            <w:r>
              <w:rPr>
                <w:rFonts w:ascii="Arial" w:cs="Arial" w:eastAsia="Arial" w:hAnsi="Arial"/>
                <w:b/>
                <w:bCs/>
                <w:sz w:val="20"/>
                <w:szCs w:val="20"/>
              </w:rPr>
              <w:t xml:space="preserve">Column</w:t>
            </w:r>
          </w:p>
        </w:tc>
        <w:tc>
          <w:tcPr>
            <w:tcW w:type="dxa" w:w="2000"/>
            <w:shd w:fill="D9E2F3" w:val="clear"/>
            <w:vAlign w:val="center"/>
          </w:tcPr>
          <w:p>
            <w:r>
              <w:rPr>
                <w:rFonts w:ascii="Arial" w:cs="Arial" w:eastAsia="Arial" w:hAnsi="Arial"/>
                <w:b/>
                <w:bCs/>
                <w:sz w:val="20"/>
                <w:szCs w:val="20"/>
              </w:rPr>
              <w:t xml:space="preserve">Data Type</w:t>
            </w:r>
          </w:p>
        </w:tc>
        <w:tc>
          <w:tcPr>
            <w:tcW w:type="dxa" w:w="5000"/>
            <w:shd w:fill="D9E2F3" w:val="clear"/>
            <w:vAlign w:val="center"/>
          </w:tcPr>
          <w:p>
            <w:r>
              <w:rPr>
                <w:rFonts w:ascii="Arial" w:cs="Arial" w:eastAsia="Arial" w:hAnsi="Arial"/>
                <w:b/>
                <w:bCs/>
                <w:sz w:val="20"/>
                <w:szCs w:val="20"/>
              </w:rPr>
              <w:t xml:space="preserve">Description</w:t>
            </w:r>
          </w:p>
        </w:tc>
      </w:tr>
      <w:tr>
        <w:tc>
          <w:tcPr>
            <w:tcW w:type="dxa" w:w="2500"/>
            <w:vAlign w:val="center"/>
          </w:tcPr>
          <w:p>
            <w:r>
              <w:rPr>
                <w:rFonts w:ascii="Arial" w:cs="Arial" w:eastAsia="Arial" w:hAnsi="Arial"/>
                <w:b w:val="false"/>
                <w:bCs w:val="false"/>
                <w:sz w:val="20"/>
                <w:szCs w:val="20"/>
              </w:rPr>
              <w:t xml:space="preserve">product_id</w:t>
            </w:r>
          </w:p>
        </w:tc>
        <w:tc>
          <w:tcPr>
            <w:tcW w:type="dxa" w:w="2000"/>
            <w:vAlign w:val="center"/>
          </w:tcPr>
          <w:p>
            <w:r>
              <w:rPr>
                <w:rFonts w:ascii="Arial" w:cs="Arial" w:eastAsia="Arial" w:hAnsi="Arial"/>
                <w:b w:val="false"/>
                <w:bCs w:val="false"/>
                <w:sz w:val="20"/>
                <w:szCs w:val="20"/>
              </w:rPr>
              <w:t xml:space="preserve">INT</w:t>
            </w:r>
          </w:p>
        </w:tc>
        <w:tc>
          <w:tcPr>
            <w:tcW w:type="dxa" w:w="5000"/>
            <w:vAlign w:val="center"/>
          </w:tcPr>
          <w:p>
            <w:r>
              <w:rPr>
                <w:rFonts w:ascii="Arial" w:cs="Arial" w:eastAsia="Arial" w:hAnsi="Arial"/>
                <w:b w:val="false"/>
                <w:bCs w:val="false"/>
                <w:sz w:val="20"/>
                <w:szCs w:val="20"/>
              </w:rPr>
              <w:t xml:space="preserve">Unique identifier for a product</w:t>
            </w:r>
          </w:p>
        </w:tc>
      </w:tr>
      <w:tr>
        <w:tc>
          <w:tcPr>
            <w:tcW w:type="dxa" w:w="2500"/>
            <w:vAlign w:val="center"/>
          </w:tcPr>
          <w:p>
            <w:r>
              <w:rPr>
                <w:rFonts w:ascii="Arial" w:cs="Arial" w:eastAsia="Arial" w:hAnsi="Arial"/>
                <w:b w:val="false"/>
                <w:bCs w:val="false"/>
                <w:sz w:val="20"/>
                <w:szCs w:val="20"/>
              </w:rPr>
              <w:t xml:space="preserve">product_name</w:t>
            </w:r>
          </w:p>
        </w:tc>
        <w:tc>
          <w:tcPr>
            <w:tcW w:type="dxa" w:w="2000"/>
            <w:vAlign w:val="center"/>
          </w:tcPr>
          <w:p>
            <w:r>
              <w:rPr>
                <w:rFonts w:ascii="Arial" w:cs="Arial" w:eastAsia="Arial" w:hAnsi="Arial"/>
                <w:b w:val="false"/>
                <w:bCs w:val="false"/>
                <w:sz w:val="20"/>
                <w:szCs w:val="20"/>
              </w:rPr>
              <w:t xml:space="preserve">VARCHAR(100)</w:t>
            </w:r>
          </w:p>
        </w:tc>
        <w:tc>
          <w:tcPr>
            <w:tcW w:type="dxa" w:w="5000"/>
            <w:vAlign w:val="center"/>
          </w:tcPr>
          <w:p>
            <w:r>
              <w:rPr>
                <w:rFonts w:ascii="Arial" w:cs="Arial" w:eastAsia="Arial" w:hAnsi="Arial"/>
                <w:b w:val="false"/>
                <w:bCs w:val="false"/>
                <w:sz w:val="20"/>
                <w:szCs w:val="20"/>
              </w:rPr>
              <w:t xml:space="preserve">Product name as sold in-store</w:t>
            </w:r>
          </w:p>
        </w:tc>
      </w:tr>
      <w:tr>
        <w:tc>
          <w:tcPr>
            <w:tcW w:type="dxa" w:w="2500"/>
            <w:vAlign w:val="center"/>
          </w:tcPr>
          <w:p>
            <w:r>
              <w:rPr>
                <w:rFonts w:ascii="Arial" w:cs="Arial" w:eastAsia="Arial" w:hAnsi="Arial"/>
                <w:b w:val="false"/>
                <w:bCs w:val="false"/>
                <w:sz w:val="20"/>
                <w:szCs w:val="20"/>
              </w:rPr>
              <w:t xml:space="preserve">category_id</w:t>
            </w:r>
          </w:p>
        </w:tc>
        <w:tc>
          <w:tcPr>
            <w:tcW w:type="dxa" w:w="2000"/>
            <w:vAlign w:val="center"/>
          </w:tcPr>
          <w:p>
            <w:r>
              <w:rPr>
                <w:rFonts w:ascii="Arial" w:cs="Arial" w:eastAsia="Arial" w:hAnsi="Arial"/>
                <w:b w:val="false"/>
                <w:bCs w:val="false"/>
                <w:sz w:val="20"/>
                <w:szCs w:val="20"/>
              </w:rPr>
              <w:t xml:space="preserve">INT (FK)</w:t>
            </w:r>
          </w:p>
        </w:tc>
        <w:tc>
          <w:tcPr>
            <w:tcW w:type="dxa" w:w="5000"/>
            <w:vAlign w:val="center"/>
          </w:tcPr>
          <w:p>
            <w:r>
              <w:rPr>
                <w:rFonts w:ascii="Arial" w:cs="Arial" w:eastAsia="Arial" w:hAnsi="Arial"/>
                <w:b w:val="false"/>
                <w:bCs w:val="false"/>
                <w:sz w:val="20"/>
                <w:szCs w:val="20"/>
              </w:rPr>
              <w:t xml:space="preserve">Links to categories.category_id</w:t>
            </w:r>
          </w:p>
        </w:tc>
      </w:tr>
      <w:tr>
        <w:tc>
          <w:tcPr>
            <w:tcW w:type="dxa" w:w="2500"/>
            <w:vAlign w:val="center"/>
          </w:tcPr>
          <w:p>
            <w:r>
              <w:rPr>
                <w:rFonts w:ascii="Arial" w:cs="Arial" w:eastAsia="Arial" w:hAnsi="Arial"/>
                <w:b w:val="false"/>
                <w:bCs w:val="false"/>
                <w:sz w:val="20"/>
                <w:szCs w:val="20"/>
              </w:rPr>
              <w:t xml:space="preserve">unit_cost</w:t>
            </w:r>
          </w:p>
        </w:tc>
        <w:tc>
          <w:tcPr>
            <w:tcW w:type="dxa" w:w="2000"/>
            <w:vAlign w:val="center"/>
          </w:tcPr>
          <w:p>
            <w:r>
              <w:rPr>
                <w:rFonts w:ascii="Arial" w:cs="Arial" w:eastAsia="Arial" w:hAnsi="Arial"/>
                <w:b w:val="false"/>
                <w:bCs w:val="false"/>
                <w:sz w:val="20"/>
                <w:szCs w:val="20"/>
              </w:rPr>
              <w:t xml:space="preserve">DECIMAL(10,2)</w:t>
            </w:r>
          </w:p>
        </w:tc>
        <w:tc>
          <w:tcPr>
            <w:tcW w:type="dxa" w:w="5000"/>
            <w:vAlign w:val="center"/>
          </w:tcPr>
          <w:p>
            <w:r>
              <w:rPr>
                <w:rFonts w:ascii="Arial" w:cs="Arial" w:eastAsia="Arial" w:hAnsi="Arial"/>
                <w:b w:val="false"/>
                <w:bCs w:val="false"/>
                <w:sz w:val="20"/>
                <w:szCs w:val="20"/>
              </w:rPr>
              <w:t xml:space="preserve">Store's cost per unit (PHP)</w:t>
            </w:r>
          </w:p>
        </w:tc>
      </w:tr>
      <w:tr>
        <w:tc>
          <w:tcPr>
            <w:tcW w:type="dxa" w:w="2500"/>
            <w:vAlign w:val="center"/>
          </w:tcPr>
          <w:p>
            <w:r>
              <w:rPr>
                <w:rFonts w:ascii="Arial" w:cs="Arial" w:eastAsia="Arial" w:hAnsi="Arial"/>
                <w:b w:val="false"/>
                <w:bCs w:val="false"/>
                <w:sz w:val="20"/>
                <w:szCs w:val="20"/>
              </w:rPr>
              <w:t xml:space="preserve">unit_price</w:t>
            </w:r>
          </w:p>
        </w:tc>
        <w:tc>
          <w:tcPr>
            <w:tcW w:type="dxa" w:w="2000"/>
            <w:vAlign w:val="center"/>
          </w:tcPr>
          <w:p>
            <w:r>
              <w:rPr>
                <w:rFonts w:ascii="Arial" w:cs="Arial" w:eastAsia="Arial" w:hAnsi="Arial"/>
                <w:b w:val="false"/>
                <w:bCs w:val="false"/>
                <w:sz w:val="20"/>
                <w:szCs w:val="20"/>
              </w:rPr>
              <w:t xml:space="preserve">DECIMAL(10,2)</w:t>
            </w:r>
          </w:p>
        </w:tc>
        <w:tc>
          <w:tcPr>
            <w:tcW w:type="dxa" w:w="5000"/>
            <w:vAlign w:val="center"/>
          </w:tcPr>
          <w:p>
            <w:r>
              <w:rPr>
                <w:rFonts w:ascii="Arial" w:cs="Arial" w:eastAsia="Arial" w:hAnsi="Arial"/>
                <w:b w:val="false"/>
                <w:bCs w:val="false"/>
                <w:sz w:val="20"/>
                <w:szCs w:val="20"/>
              </w:rPr>
              <w:t xml:space="preserve">Selling price per unit (PHP)</w:t>
            </w:r>
          </w:p>
        </w:tc>
      </w:tr>
    </w:tbl>
    <w:p>
      <w:pPr>
        <w:spacing w:after="100" w:line="360"/>
      </w:pPr>
      <w:r>
        <w:rPr>
          <w:rFonts w:ascii="Arial" w:cs="Arial" w:eastAsia="Arial" w:hAnsi="Arial"/>
          <w:b/>
          <w:bCs/>
          <w:sz w:val="24"/>
          <w:szCs w:val="24"/>
        </w:rPr>
        <w:t xml:space="preserve">Table: transactions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000"/>
      </w:tblGrid>
      <w:tr>
        <w:tc>
          <w:tcPr>
            <w:tcW w:type="dxa" w:w="2500"/>
            <w:shd w:fill="D9E2F3" w:val="clear"/>
            <w:vAlign w:val="center"/>
          </w:tcPr>
          <w:p>
            <w:r>
              <w:rPr>
                <w:rFonts w:ascii="Arial" w:cs="Arial" w:eastAsia="Arial" w:hAnsi="Arial"/>
                <w:b/>
                <w:bCs/>
                <w:sz w:val="20"/>
                <w:szCs w:val="20"/>
              </w:rPr>
              <w:t xml:space="preserve">Column</w:t>
            </w:r>
          </w:p>
        </w:tc>
        <w:tc>
          <w:tcPr>
            <w:tcW w:type="dxa" w:w="2000"/>
            <w:shd w:fill="D9E2F3" w:val="clear"/>
            <w:vAlign w:val="center"/>
          </w:tcPr>
          <w:p>
            <w:r>
              <w:rPr>
                <w:rFonts w:ascii="Arial" w:cs="Arial" w:eastAsia="Arial" w:hAnsi="Arial"/>
                <w:b/>
                <w:bCs/>
                <w:sz w:val="20"/>
                <w:szCs w:val="20"/>
              </w:rPr>
              <w:t xml:space="preserve">Data Type</w:t>
            </w:r>
          </w:p>
        </w:tc>
        <w:tc>
          <w:tcPr>
            <w:tcW w:type="dxa" w:w="5000"/>
            <w:shd w:fill="D9E2F3" w:val="clear"/>
            <w:vAlign w:val="center"/>
          </w:tcPr>
          <w:p>
            <w:r>
              <w:rPr>
                <w:rFonts w:ascii="Arial" w:cs="Arial" w:eastAsia="Arial" w:hAnsi="Arial"/>
                <w:b/>
                <w:bCs/>
                <w:sz w:val="20"/>
                <w:szCs w:val="20"/>
              </w:rPr>
              <w:t xml:space="preserve">Description</w:t>
            </w:r>
          </w:p>
        </w:tc>
      </w:tr>
      <w:tr>
        <w:tc>
          <w:tcPr>
            <w:tcW w:type="dxa" w:w="2500"/>
            <w:vAlign w:val="center"/>
          </w:tcPr>
          <w:p>
            <w:r>
              <w:rPr>
                <w:rFonts w:ascii="Arial" w:cs="Arial" w:eastAsia="Arial" w:hAnsi="Arial"/>
                <w:b w:val="false"/>
                <w:bCs w:val="false"/>
                <w:sz w:val="20"/>
                <w:szCs w:val="20"/>
              </w:rPr>
              <w:t xml:space="preserve">transaction_id</w:t>
            </w:r>
          </w:p>
        </w:tc>
        <w:tc>
          <w:tcPr>
            <w:tcW w:type="dxa" w:w="2000"/>
            <w:vAlign w:val="center"/>
          </w:tcPr>
          <w:p>
            <w:r>
              <w:rPr>
                <w:rFonts w:ascii="Arial" w:cs="Arial" w:eastAsia="Arial" w:hAnsi="Arial"/>
                <w:b w:val="false"/>
                <w:bCs w:val="false"/>
                <w:sz w:val="20"/>
                <w:szCs w:val="20"/>
              </w:rPr>
              <w:t xml:space="preserve">INT</w:t>
            </w:r>
          </w:p>
        </w:tc>
        <w:tc>
          <w:tcPr>
            <w:tcW w:type="dxa" w:w="5000"/>
            <w:vAlign w:val="center"/>
          </w:tcPr>
          <w:p>
            <w:r>
              <w:rPr>
                <w:rFonts w:ascii="Arial" w:cs="Arial" w:eastAsia="Arial" w:hAnsi="Arial"/>
                <w:b w:val="false"/>
                <w:bCs w:val="false"/>
                <w:sz w:val="20"/>
                <w:szCs w:val="20"/>
              </w:rPr>
              <w:t xml:space="preserve">Unique identifier for a sales transaction (receipt)</w:t>
            </w:r>
          </w:p>
        </w:tc>
      </w:tr>
      <w:tr>
        <w:tc>
          <w:tcPr>
            <w:tcW w:type="dxa" w:w="2500"/>
            <w:vAlign w:val="center"/>
          </w:tcPr>
          <w:p>
            <w:r>
              <w:rPr>
                <w:rFonts w:ascii="Arial" w:cs="Arial" w:eastAsia="Arial" w:hAnsi="Arial"/>
                <w:b w:val="false"/>
                <w:bCs w:val="false"/>
                <w:sz w:val="20"/>
                <w:szCs w:val="20"/>
              </w:rPr>
              <w:t xml:space="preserve">transaction_date</w:t>
            </w:r>
          </w:p>
        </w:tc>
        <w:tc>
          <w:tcPr>
            <w:tcW w:type="dxa" w:w="2000"/>
            <w:vAlign w:val="center"/>
          </w:tcPr>
          <w:p>
            <w:r>
              <w:rPr>
                <w:rFonts w:ascii="Arial" w:cs="Arial" w:eastAsia="Arial" w:hAnsi="Arial"/>
                <w:b w:val="false"/>
                <w:bCs w:val="false"/>
                <w:sz w:val="20"/>
                <w:szCs w:val="20"/>
              </w:rPr>
              <w:t xml:space="preserve">DATE</w:t>
            </w:r>
          </w:p>
        </w:tc>
        <w:tc>
          <w:tcPr>
            <w:tcW w:type="dxa" w:w="5000"/>
            <w:vAlign w:val="center"/>
          </w:tcPr>
          <w:p>
            <w:r>
              <w:rPr>
                <w:rFonts w:ascii="Arial" w:cs="Arial" w:eastAsia="Arial" w:hAnsi="Arial"/>
                <w:b w:val="false"/>
                <w:bCs w:val="false"/>
                <w:sz w:val="20"/>
                <w:szCs w:val="20"/>
              </w:rPr>
              <w:t xml:space="preserve">Date of the transaction (YYYY-MM-DD)</w:t>
            </w:r>
          </w:p>
        </w:tc>
      </w:tr>
      <w:tr>
        <w:tc>
          <w:tcPr>
            <w:tcW w:type="dxa" w:w="2500"/>
            <w:vAlign w:val="center"/>
          </w:tcPr>
          <w:p>
            <w:r>
              <w:rPr>
                <w:rFonts w:ascii="Arial" w:cs="Arial" w:eastAsia="Arial" w:hAnsi="Arial"/>
                <w:b w:val="false"/>
                <w:bCs w:val="false"/>
                <w:sz w:val="20"/>
                <w:szCs w:val="20"/>
              </w:rPr>
              <w:t xml:space="preserve">payment_type</w:t>
            </w:r>
          </w:p>
        </w:tc>
        <w:tc>
          <w:tcPr>
            <w:tcW w:type="dxa" w:w="2000"/>
            <w:vAlign w:val="center"/>
          </w:tcPr>
          <w:p>
            <w:r>
              <w:rPr>
                <w:rFonts w:ascii="Arial" w:cs="Arial" w:eastAsia="Arial" w:hAnsi="Arial"/>
                <w:b w:val="false"/>
                <w:bCs w:val="false"/>
                <w:sz w:val="20"/>
                <w:szCs w:val="20"/>
              </w:rPr>
              <w:t xml:space="preserve">VARCHAR(20)</w:t>
            </w:r>
          </w:p>
        </w:tc>
        <w:tc>
          <w:tcPr>
            <w:tcW w:type="dxa" w:w="5000"/>
            <w:vAlign w:val="center"/>
          </w:tcPr>
          <w:p>
            <w:r>
              <w:rPr>
                <w:rFonts w:ascii="Arial" w:cs="Arial" w:eastAsia="Arial" w:hAnsi="Arial"/>
                <w:b w:val="false"/>
                <w:bCs w:val="false"/>
                <w:sz w:val="20"/>
                <w:szCs w:val="20"/>
              </w:rPr>
              <w:t xml:space="preserve">Cash, GCash, Credit/Utang, or Unknown</w:t>
            </w:r>
          </w:p>
        </w:tc>
      </w:tr>
      <w:tr>
        <w:tc>
          <w:tcPr>
            <w:tcW w:type="dxa" w:w="2500"/>
            <w:vAlign w:val="center"/>
          </w:tcPr>
          <w:p>
            <w:r>
              <w:rPr>
                <w:rFonts w:ascii="Arial" w:cs="Arial" w:eastAsia="Arial" w:hAnsi="Arial"/>
                <w:b w:val="false"/>
                <w:bCs w:val="false"/>
                <w:sz w:val="20"/>
                <w:szCs w:val="20"/>
              </w:rPr>
              <w:t xml:space="preserve">transaction_total</w:t>
            </w:r>
          </w:p>
        </w:tc>
        <w:tc>
          <w:tcPr>
            <w:tcW w:type="dxa" w:w="2000"/>
            <w:vAlign w:val="center"/>
          </w:tcPr>
          <w:p>
            <w:r>
              <w:rPr>
                <w:rFonts w:ascii="Arial" w:cs="Arial" w:eastAsia="Arial" w:hAnsi="Arial"/>
                <w:b w:val="false"/>
                <w:bCs w:val="false"/>
                <w:sz w:val="20"/>
                <w:szCs w:val="20"/>
              </w:rPr>
              <w:t xml:space="preserve">DECIMAL(10,2)</w:t>
            </w:r>
          </w:p>
        </w:tc>
        <w:tc>
          <w:tcPr>
            <w:tcW w:type="dxa" w:w="5000"/>
            <w:vAlign w:val="center"/>
          </w:tcPr>
          <w:p>
            <w:r>
              <w:rPr>
                <w:rFonts w:ascii="Arial" w:cs="Arial" w:eastAsia="Arial" w:hAnsi="Arial"/>
                <w:b w:val="false"/>
                <w:bCs w:val="false"/>
                <w:sz w:val="20"/>
                <w:szCs w:val="20"/>
              </w:rPr>
              <w:t xml:space="preserve">Total peso value of the transaction</w:t>
            </w:r>
          </w:p>
        </w:tc>
      </w:tr>
    </w:tbl>
    <w:p>
      <w:pPr>
        <w:spacing w:after="100" w:line="360"/>
      </w:pPr>
      <w:r>
        <w:rPr>
          <w:rFonts w:ascii="Arial" w:cs="Arial" w:eastAsia="Arial" w:hAnsi="Arial"/>
          <w:b/>
          <w:bCs/>
          <w:sz w:val="24"/>
          <w:szCs w:val="24"/>
        </w:rPr>
        <w:t xml:space="preserve">Table: transaction_items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000"/>
      </w:tblGrid>
      <w:tr>
        <w:tc>
          <w:tcPr>
            <w:tcW w:type="dxa" w:w="2500"/>
            <w:shd w:fill="D9E2F3" w:val="clear"/>
            <w:vAlign w:val="center"/>
          </w:tcPr>
          <w:p>
            <w:r>
              <w:rPr>
                <w:rFonts w:ascii="Arial" w:cs="Arial" w:eastAsia="Arial" w:hAnsi="Arial"/>
                <w:b/>
                <w:bCs/>
                <w:sz w:val="20"/>
                <w:szCs w:val="20"/>
              </w:rPr>
              <w:t xml:space="preserve">Column</w:t>
            </w:r>
          </w:p>
        </w:tc>
        <w:tc>
          <w:tcPr>
            <w:tcW w:type="dxa" w:w="2000"/>
            <w:shd w:fill="D9E2F3" w:val="clear"/>
            <w:vAlign w:val="center"/>
          </w:tcPr>
          <w:p>
            <w:r>
              <w:rPr>
                <w:rFonts w:ascii="Arial" w:cs="Arial" w:eastAsia="Arial" w:hAnsi="Arial"/>
                <w:b/>
                <w:bCs/>
                <w:sz w:val="20"/>
                <w:szCs w:val="20"/>
              </w:rPr>
              <w:t xml:space="preserve">Data Type</w:t>
            </w:r>
          </w:p>
        </w:tc>
        <w:tc>
          <w:tcPr>
            <w:tcW w:type="dxa" w:w="5000"/>
            <w:shd w:fill="D9E2F3" w:val="clear"/>
            <w:vAlign w:val="center"/>
          </w:tcPr>
          <w:p>
            <w:r>
              <w:rPr>
                <w:rFonts w:ascii="Arial" w:cs="Arial" w:eastAsia="Arial" w:hAnsi="Arial"/>
                <w:b/>
                <w:bCs/>
                <w:sz w:val="20"/>
                <w:szCs w:val="20"/>
              </w:rPr>
              <w:t xml:space="preserve">Description</w:t>
            </w:r>
          </w:p>
        </w:tc>
      </w:tr>
      <w:tr>
        <w:tc>
          <w:tcPr>
            <w:tcW w:type="dxa" w:w="2500"/>
            <w:vAlign w:val="center"/>
          </w:tcPr>
          <w:p>
            <w:r>
              <w:rPr>
                <w:rFonts w:ascii="Arial" w:cs="Arial" w:eastAsia="Arial" w:hAnsi="Arial"/>
                <w:b w:val="false"/>
                <w:bCs w:val="false"/>
                <w:sz w:val="20"/>
                <w:szCs w:val="20"/>
              </w:rPr>
              <w:t xml:space="preserve">item_id</w:t>
            </w:r>
          </w:p>
        </w:tc>
        <w:tc>
          <w:tcPr>
            <w:tcW w:type="dxa" w:w="2000"/>
            <w:vAlign w:val="center"/>
          </w:tcPr>
          <w:p>
            <w:r>
              <w:rPr>
                <w:rFonts w:ascii="Arial" w:cs="Arial" w:eastAsia="Arial" w:hAnsi="Arial"/>
                <w:b w:val="false"/>
                <w:bCs w:val="false"/>
                <w:sz w:val="20"/>
                <w:szCs w:val="20"/>
              </w:rPr>
              <w:t xml:space="preserve">INT</w:t>
            </w:r>
          </w:p>
        </w:tc>
        <w:tc>
          <w:tcPr>
            <w:tcW w:type="dxa" w:w="5000"/>
            <w:vAlign w:val="center"/>
          </w:tcPr>
          <w:p>
            <w:r>
              <w:rPr>
                <w:rFonts w:ascii="Arial" w:cs="Arial" w:eastAsia="Arial" w:hAnsi="Arial"/>
                <w:b w:val="false"/>
                <w:bCs w:val="false"/>
                <w:sz w:val="20"/>
                <w:szCs w:val="20"/>
              </w:rPr>
              <w:t xml:space="preserve">Unique identifier for a line item</w:t>
            </w:r>
          </w:p>
        </w:tc>
      </w:tr>
      <w:tr>
        <w:tc>
          <w:tcPr>
            <w:tcW w:type="dxa" w:w="2500"/>
            <w:vAlign w:val="center"/>
          </w:tcPr>
          <w:p>
            <w:r>
              <w:rPr>
                <w:rFonts w:ascii="Arial" w:cs="Arial" w:eastAsia="Arial" w:hAnsi="Arial"/>
                <w:b w:val="false"/>
                <w:bCs w:val="false"/>
                <w:sz w:val="20"/>
                <w:szCs w:val="20"/>
              </w:rPr>
              <w:t xml:space="preserve">transaction_id</w:t>
            </w:r>
          </w:p>
        </w:tc>
        <w:tc>
          <w:tcPr>
            <w:tcW w:type="dxa" w:w="2000"/>
            <w:vAlign w:val="center"/>
          </w:tcPr>
          <w:p>
            <w:r>
              <w:rPr>
                <w:rFonts w:ascii="Arial" w:cs="Arial" w:eastAsia="Arial" w:hAnsi="Arial"/>
                <w:b w:val="false"/>
                <w:bCs w:val="false"/>
                <w:sz w:val="20"/>
                <w:szCs w:val="20"/>
              </w:rPr>
              <w:t xml:space="preserve">INT (FK)</w:t>
            </w:r>
          </w:p>
        </w:tc>
        <w:tc>
          <w:tcPr>
            <w:tcW w:type="dxa" w:w="5000"/>
            <w:vAlign w:val="center"/>
          </w:tcPr>
          <w:p>
            <w:r>
              <w:rPr>
                <w:rFonts w:ascii="Arial" w:cs="Arial" w:eastAsia="Arial" w:hAnsi="Arial"/>
                <w:b w:val="false"/>
                <w:bCs w:val="false"/>
                <w:sz w:val="20"/>
                <w:szCs w:val="20"/>
              </w:rPr>
              <w:t xml:space="preserve">Links to transactions.transaction_id</w:t>
            </w:r>
          </w:p>
        </w:tc>
      </w:tr>
      <w:tr>
        <w:tc>
          <w:tcPr>
            <w:tcW w:type="dxa" w:w="2500"/>
            <w:vAlign w:val="center"/>
          </w:tcPr>
          <w:p>
            <w:r>
              <w:rPr>
                <w:rFonts w:ascii="Arial" w:cs="Arial" w:eastAsia="Arial" w:hAnsi="Arial"/>
                <w:b w:val="false"/>
                <w:bCs w:val="false"/>
                <w:sz w:val="20"/>
                <w:szCs w:val="20"/>
              </w:rPr>
              <w:t xml:space="preserve">product_id</w:t>
            </w:r>
          </w:p>
        </w:tc>
        <w:tc>
          <w:tcPr>
            <w:tcW w:type="dxa" w:w="2000"/>
            <w:vAlign w:val="center"/>
          </w:tcPr>
          <w:p>
            <w:r>
              <w:rPr>
                <w:rFonts w:ascii="Arial" w:cs="Arial" w:eastAsia="Arial" w:hAnsi="Arial"/>
                <w:b w:val="false"/>
                <w:bCs w:val="false"/>
                <w:sz w:val="20"/>
                <w:szCs w:val="20"/>
              </w:rPr>
              <w:t xml:space="preserve">INT (FK)</w:t>
            </w:r>
          </w:p>
        </w:tc>
        <w:tc>
          <w:tcPr>
            <w:tcW w:type="dxa" w:w="5000"/>
            <w:vAlign w:val="center"/>
          </w:tcPr>
          <w:p>
            <w:r>
              <w:rPr>
                <w:rFonts w:ascii="Arial" w:cs="Arial" w:eastAsia="Arial" w:hAnsi="Arial"/>
                <w:b w:val="false"/>
                <w:bCs w:val="false"/>
                <w:sz w:val="20"/>
                <w:szCs w:val="20"/>
              </w:rPr>
              <w:t xml:space="preserve">Links to products.product_id</w:t>
            </w:r>
          </w:p>
        </w:tc>
      </w:tr>
      <w:tr>
        <w:tc>
          <w:tcPr>
            <w:tcW w:type="dxa" w:w="2500"/>
            <w:vAlign w:val="center"/>
          </w:tcPr>
          <w:p>
            <w:r>
              <w:rPr>
                <w:rFonts w:ascii="Arial" w:cs="Arial" w:eastAsia="Arial" w:hAnsi="Arial"/>
                <w:b w:val="false"/>
                <w:bCs w:val="false"/>
                <w:sz w:val="20"/>
                <w:szCs w:val="20"/>
              </w:rPr>
              <w:t xml:space="preserve">quantity</w:t>
            </w:r>
          </w:p>
        </w:tc>
        <w:tc>
          <w:tcPr>
            <w:tcW w:type="dxa" w:w="2000"/>
            <w:vAlign w:val="center"/>
          </w:tcPr>
          <w:p>
            <w:r>
              <w:rPr>
                <w:rFonts w:ascii="Arial" w:cs="Arial" w:eastAsia="Arial" w:hAnsi="Arial"/>
                <w:b w:val="false"/>
                <w:bCs w:val="false"/>
                <w:sz w:val="20"/>
                <w:szCs w:val="20"/>
              </w:rPr>
              <w:t xml:space="preserve">INT</w:t>
            </w:r>
          </w:p>
        </w:tc>
        <w:tc>
          <w:tcPr>
            <w:tcW w:type="dxa" w:w="5000"/>
            <w:vAlign w:val="center"/>
          </w:tcPr>
          <w:p>
            <w:r>
              <w:rPr>
                <w:rFonts w:ascii="Arial" w:cs="Arial" w:eastAsia="Arial" w:hAnsi="Arial"/>
                <w:b w:val="false"/>
                <w:bCs w:val="false"/>
                <w:sz w:val="20"/>
                <w:szCs w:val="20"/>
              </w:rPr>
              <w:t xml:space="preserve">Number of units purchased</w:t>
            </w:r>
          </w:p>
        </w:tc>
      </w:tr>
      <w:tr>
        <w:tc>
          <w:tcPr>
            <w:tcW w:type="dxa" w:w="2500"/>
            <w:vAlign w:val="center"/>
          </w:tcPr>
          <w:p>
            <w:r>
              <w:rPr>
                <w:rFonts w:ascii="Arial" w:cs="Arial" w:eastAsia="Arial" w:hAnsi="Arial"/>
                <w:b w:val="false"/>
                <w:bCs w:val="false"/>
                <w:sz w:val="20"/>
                <w:szCs w:val="20"/>
              </w:rPr>
              <w:t xml:space="preserve">unit_price</w:t>
            </w:r>
          </w:p>
        </w:tc>
        <w:tc>
          <w:tcPr>
            <w:tcW w:type="dxa" w:w="2000"/>
            <w:vAlign w:val="center"/>
          </w:tcPr>
          <w:p>
            <w:r>
              <w:rPr>
                <w:rFonts w:ascii="Arial" w:cs="Arial" w:eastAsia="Arial" w:hAnsi="Arial"/>
                <w:b w:val="false"/>
                <w:bCs w:val="false"/>
                <w:sz w:val="20"/>
                <w:szCs w:val="20"/>
              </w:rPr>
              <w:t xml:space="preserve">DECIMAL(10,2)</w:t>
            </w:r>
          </w:p>
        </w:tc>
        <w:tc>
          <w:tcPr>
            <w:tcW w:type="dxa" w:w="5000"/>
            <w:vAlign w:val="center"/>
          </w:tcPr>
          <w:p>
            <w:r>
              <w:rPr>
                <w:rFonts w:ascii="Arial" w:cs="Arial" w:eastAsia="Arial" w:hAnsi="Arial"/>
                <w:b w:val="false"/>
                <w:bCs w:val="false"/>
                <w:sz w:val="20"/>
                <w:szCs w:val="20"/>
              </w:rPr>
              <w:t xml:space="preserve">Price per unit at time of sale</w:t>
            </w:r>
          </w:p>
        </w:tc>
      </w:tr>
      <w:tr>
        <w:tc>
          <w:tcPr>
            <w:tcW w:type="dxa" w:w="2500"/>
            <w:vAlign w:val="center"/>
          </w:tcPr>
          <w:p>
            <w:r>
              <w:rPr>
                <w:rFonts w:ascii="Arial" w:cs="Arial" w:eastAsia="Arial" w:hAnsi="Arial"/>
                <w:b w:val="false"/>
                <w:bCs w:val="false"/>
                <w:sz w:val="20"/>
                <w:szCs w:val="20"/>
              </w:rPr>
              <w:t xml:space="preserve">subtotal</w:t>
            </w:r>
          </w:p>
        </w:tc>
        <w:tc>
          <w:tcPr>
            <w:tcW w:type="dxa" w:w="2000"/>
            <w:vAlign w:val="center"/>
          </w:tcPr>
          <w:p>
            <w:r>
              <w:rPr>
                <w:rFonts w:ascii="Arial" w:cs="Arial" w:eastAsia="Arial" w:hAnsi="Arial"/>
                <w:b w:val="false"/>
                <w:bCs w:val="false"/>
                <w:sz w:val="20"/>
                <w:szCs w:val="20"/>
              </w:rPr>
              <w:t xml:space="preserve">DECIMAL(10,2)</w:t>
            </w:r>
          </w:p>
        </w:tc>
        <w:tc>
          <w:tcPr>
            <w:tcW w:type="dxa" w:w="5000"/>
            <w:vAlign w:val="center"/>
          </w:tcPr>
          <w:p>
            <w:r>
              <w:rPr>
                <w:rFonts w:ascii="Arial" w:cs="Arial" w:eastAsia="Arial" w:hAnsi="Arial"/>
                <w:b w:val="false"/>
                <w:bCs w:val="false"/>
                <w:sz w:val="20"/>
                <w:szCs w:val="20"/>
              </w:rPr>
              <w:t xml:space="preserve">quantity × unit_price</w:t>
            </w:r>
          </w:p>
        </w:tc>
      </w:tr>
    </w:tbl>
    <w:p>
      <w:pPr>
        <w:pStyle w:val="Heading2"/>
        <w:spacing w:after="200" w:before="300" w:line="360"/>
      </w:pPr>
      <w:r>
        <w:rPr>
          <w:rFonts w:ascii="Arial" w:cs="Arial" w:eastAsia="Arial" w:hAnsi="Arial"/>
          <w:b/>
          <w:bCs/>
        </w:rPr>
        <w:t xml:space="preserve">Data Quality Assessment (Before Cleaning)</w:t>
      </w:r>
    </w:p>
    <w:p>
      <w:pPr>
        <w:spacing w:after="150" w:line="360"/>
      </w:pPr>
      <w:r>
        <w:rPr>
          <w:rFonts w:ascii="Arial" w:cs="Arial" w:eastAsia="Arial" w:hAnsi="Arial"/>
          <w:sz w:val="24"/>
          <w:szCs w:val="24"/>
        </w:rPr>
        <w:t xml:space="preserve">Performed on the raw transactions file (2,539 rows) before cleaning: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800"/>
      </w:tblGrid>
      <w:tr>
        <w:tc>
          <w:tcPr>
            <w:tcW w:type="dxa" w:w="4500"/>
            <w:shd w:fill="D9E2F3" w:val="clear"/>
            <w:vAlign w:val="center"/>
          </w:tcPr>
          <w:p>
            <w:r>
              <w:rPr>
                <w:rFonts w:ascii="Arial" w:cs="Arial" w:eastAsia="Arial" w:hAnsi="Arial"/>
                <w:b/>
                <w:bCs/>
                <w:sz w:val="20"/>
                <w:szCs w:val="20"/>
              </w:rPr>
              <w:t xml:space="preserve">Issue Found</w:t>
            </w:r>
          </w:p>
        </w:tc>
        <w:tc>
          <w:tcPr>
            <w:tcW w:type="dxa" w:w="1200"/>
            <w:shd w:fill="D9E2F3" w:val="clear"/>
            <w:vAlign w:val="center"/>
          </w:tcPr>
          <w:p>
            <w:r>
              <w:rPr>
                <w:rFonts w:ascii="Arial" w:cs="Arial" w:eastAsia="Arial" w:hAnsi="Arial"/>
                <w:b/>
                <w:bCs/>
                <w:sz w:val="20"/>
                <w:szCs w:val="20"/>
              </w:rPr>
              <w:t xml:space="preserve">Count</w:t>
            </w:r>
          </w:p>
        </w:tc>
        <w:tc>
          <w:tcPr>
            <w:tcW w:type="dxa" w:w="3800"/>
            <w:shd w:fill="D9E2F3" w:val="clear"/>
            <w:vAlign w:val="center"/>
          </w:tcPr>
          <w:p>
            <w:r>
              <w:rPr>
                <w:rFonts w:ascii="Arial" w:cs="Arial" w:eastAsia="Arial" w:hAnsi="Arial"/>
                <w:b/>
                <w:bCs/>
                <w:sz w:val="20"/>
                <w:szCs w:val="20"/>
              </w:rPr>
              <w:t xml:space="preserve">Cleaning Step Applied</w:t>
            </w:r>
          </w:p>
        </w:tc>
      </w:tr>
      <w:tr>
        <w:tc>
          <w:tcPr>
            <w:tcW w:type="dxa" w:w="4500"/>
            <w:vAlign w:val="center"/>
          </w:tcPr>
          <w:p>
            <w:r>
              <w:rPr>
                <w:rFonts w:ascii="Arial" w:cs="Arial" w:eastAsia="Arial" w:hAnsi="Arial"/>
                <w:b w:val="false"/>
                <w:bCs w:val="false"/>
                <w:sz w:val="20"/>
                <w:szCs w:val="20"/>
              </w:rPr>
              <w:t xml:space="preserve">Duplicate transaction_id rows (exact re-entries)</w:t>
            </w:r>
          </w:p>
        </w:tc>
        <w:tc>
          <w:tcPr>
            <w:tcW w:type="dxa" w:w="1200"/>
            <w:vAlign w:val="center"/>
          </w:tcPr>
          <w:p>
            <w:r>
              <w:rPr>
                <w:rFonts w:ascii="Arial" w:cs="Arial" w:eastAsia="Arial" w:hAnsi="Arial"/>
                <w:b w:val="false"/>
                <w:bCs w:val="false"/>
                <w:sz w:val="20"/>
                <w:szCs w:val="20"/>
              </w:rPr>
              <w:t xml:space="preserve">6</w:t>
            </w:r>
          </w:p>
        </w:tc>
        <w:tc>
          <w:tcPr>
            <w:tcW w:type="dxa" w:w="3800"/>
            <w:vAlign w:val="center"/>
          </w:tcPr>
          <w:p>
            <w:r>
              <w:rPr>
                <w:rFonts w:ascii="Arial" w:cs="Arial" w:eastAsia="Arial" w:hAnsi="Arial"/>
                <w:b w:val="false"/>
                <w:bCs w:val="false"/>
                <w:sz w:val="20"/>
                <w:szCs w:val="20"/>
              </w:rPr>
              <w:t xml:space="preserve">Removed, kept first occurrence</w:t>
            </w:r>
          </w:p>
        </w:tc>
      </w:tr>
      <w:tr>
        <w:tc>
          <w:tcPr>
            <w:tcW w:type="dxa" w:w="4500"/>
            <w:vAlign w:val="center"/>
          </w:tcPr>
          <w:p>
            <w:r>
              <w:rPr>
                <w:rFonts w:ascii="Arial" w:cs="Arial" w:eastAsia="Arial" w:hAnsi="Arial"/>
                <w:b w:val="false"/>
                <w:bCs w:val="false"/>
                <w:sz w:val="20"/>
                <w:szCs w:val="20"/>
              </w:rPr>
              <w:t xml:space="preserve">Missing payment_type values (blank)</w:t>
            </w:r>
          </w:p>
        </w:tc>
        <w:tc>
          <w:tcPr>
            <w:tcW w:type="dxa" w:w="1200"/>
            <w:vAlign w:val="center"/>
          </w:tcPr>
          <w:p>
            <w:r>
              <w:rPr>
                <w:rFonts w:ascii="Arial" w:cs="Arial" w:eastAsia="Arial" w:hAnsi="Arial"/>
                <w:b w:val="false"/>
                <w:bCs w:val="false"/>
                <w:sz w:val="20"/>
                <w:szCs w:val="20"/>
              </w:rPr>
              <w:t xml:space="preserve">15</w:t>
            </w:r>
          </w:p>
        </w:tc>
        <w:tc>
          <w:tcPr>
            <w:tcW w:type="dxa" w:w="3800"/>
            <w:vAlign w:val="center"/>
          </w:tcPr>
          <w:p>
            <w:r>
              <w:rPr>
                <w:rFonts w:ascii="Arial" w:cs="Arial" w:eastAsia="Arial" w:hAnsi="Arial"/>
                <w:b w:val="false"/>
                <w:bCs w:val="false"/>
                <w:sz w:val="20"/>
                <w:szCs w:val="20"/>
              </w:rPr>
              <w:t xml:space="preserve">Recoded to "Unknown" rather than dropped, to preserve the transaction total</w:t>
            </w:r>
          </w:p>
        </w:tc>
      </w:tr>
      <w:tr>
        <w:tc>
          <w:tcPr>
            <w:tcW w:type="dxa" w:w="4500"/>
            <w:vAlign w:val="center"/>
          </w:tcPr>
          <w:p>
            <w:r>
              <w:rPr>
                <w:rFonts w:ascii="Arial" w:cs="Arial" w:eastAsia="Arial" w:hAnsi="Arial"/>
                <w:b w:val="false"/>
                <w:bCs w:val="false"/>
                <w:sz w:val="20"/>
                <w:szCs w:val="20"/>
              </w:rPr>
              <w:t xml:space="preserve">Inconsistent payment_type labels (e.g. "cash", "CASH", "gcash", "G-Cash")</w:t>
            </w:r>
          </w:p>
        </w:tc>
        <w:tc>
          <w:tcPr>
            <w:tcW w:type="dxa" w:w="1200"/>
            <w:vAlign w:val="center"/>
          </w:tcPr>
          <w:p>
            <w:r>
              <w:rPr>
                <w:rFonts w:ascii="Arial" w:cs="Arial" w:eastAsia="Arial" w:hAnsi="Arial"/>
                <w:b w:val="false"/>
                <w:bCs w:val="false"/>
                <w:sz w:val="20"/>
                <w:szCs w:val="20"/>
              </w:rPr>
              <w:t xml:space="preserve">17</w:t>
            </w:r>
          </w:p>
        </w:tc>
        <w:tc>
          <w:tcPr>
            <w:tcW w:type="dxa" w:w="3800"/>
            <w:vAlign w:val="center"/>
          </w:tcPr>
          <w:p>
            <w:r>
              <w:rPr>
                <w:rFonts w:ascii="Arial" w:cs="Arial" w:eastAsia="Arial" w:hAnsi="Arial"/>
                <w:b w:val="false"/>
                <w:bCs w:val="false"/>
                <w:sz w:val="20"/>
                <w:szCs w:val="20"/>
              </w:rPr>
              <w:t xml:space="preserve">Standardized to consistent labels: Cash, GCash, Credit/Utang</w:t>
            </w:r>
          </w:p>
        </w:tc>
      </w:tr>
    </w:tbl>
    <w:p>
      <w:pPr>
        <w:spacing w:after="300" w:line="360"/>
      </w:pPr>
      <w:r>
        <w:rPr>
          <w:rFonts w:ascii="Arial" w:cs="Arial" w:eastAsia="Arial" w:hAnsi="Arial"/>
          <w:sz w:val="24"/>
          <w:szCs w:val="24"/>
        </w:rPr>
        <w:t xml:space="preserve">Result: 2,539 raw rows → 2,533 cleaned rows, imported into the transactions table. During import, phpMyAdmin additionally inserted the CSV header row as a data row in each table; these 4 extraneous rows (one per table) were identified via row-count verification and manually deleted post-import.</w:t>
      </w:r>
    </w:p>
    <w:p>
      <w:pPr>
        <w:spacing w:after="100"/>
        <w:jc w:val="center"/>
      </w:pPr>
      <w:r>
        <w:drawing>
          <wp:inline distT="0" distB="0" distL="0" distR="0">
            <wp:extent cx="5238750" cy="3091721"/>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091721"/>
                    </a:xfrm>
                    <a:prstGeom prst="rect">
                      <a:avLst/>
                    </a:prstGeom>
                  </pic:spPr>
                </pic:pic>
              </a:graphicData>
            </a:graphic>
          </wp:inline>
        </w:drawing>
      </w:r>
    </w:p>
    <w:p>
      <w:pPr>
        <w:spacing w:after="200" w:line="360"/>
      </w:pPr>
      <w:r>
        <w:rPr>
          <w:rFonts w:ascii="Arial" w:cs="Arial" w:eastAsia="Arial" w:hAnsi="Arial"/>
          <w:i/>
          <w:iCs/>
          <w:sz w:val="20"/>
          <w:szCs w:val="20"/>
        </w:rPr>
        <w:t xml:space="preserve">Figure — Preview of the first 20 rows of transactions.csv (cleaned dataset shown; the original pre-cleaning raw file was not retained, so this preview illustrates dataset structure rather than the raw-data issues described above)</w:t>
      </w:r>
    </w:p>
    <w:p>
      <w:r>
        <w:br w:type="page"/>
      </w:r>
    </w:p>
    <w:p>
      <w:pPr>
        <w:pStyle w:val="Heading1"/>
        <w:spacing w:after="200" w:before="300" w:line="360"/>
      </w:pPr>
      <w:r>
        <w:rPr>
          <w:rFonts w:ascii="Arial" w:cs="Arial" w:eastAsia="Arial" w:hAnsi="Arial"/>
          <w:b/>
          <w:bCs/>
        </w:rPr>
        <w:t xml:space="preserve">Task 1.3 — Relational Database Design</w:t>
      </w:r>
    </w:p>
    <w:p>
      <w:pPr>
        <w:spacing w:after="200" w:line="360"/>
      </w:pPr>
      <w:r>
        <w:rPr>
          <w:rFonts w:ascii="Arial" w:cs="Arial" w:eastAsia="Arial" w:hAnsi="Arial"/>
          <w:sz w:val="24"/>
          <w:szCs w:val="24"/>
        </w:rPr>
        <w:t xml:space="preserve">The database was designed with four related tables: categories, products, transactions, and transaction_items. The transaction_items table serves as a bridge table connecting transactions to products, since one transaction can contain many products and one product can appear in many transactions. The products table links to categories via a foreign key.</w:t>
      </w:r>
    </w:p>
    <w:p>
      <w:pPr>
        <w:pStyle w:val="Heading2"/>
        <w:spacing w:after="200" w:before="300" w:line="360"/>
      </w:pPr>
      <w:r>
        <w:rPr>
          <w:rFonts w:ascii="Arial" w:cs="Arial" w:eastAsia="Arial" w:hAnsi="Arial"/>
          <w:b/>
          <w:bCs/>
        </w:rPr>
        <w:t xml:space="preserve">Entity-Relationship Diagram</w:t>
      </w:r>
    </w:p>
    <w:p>
      <w:pPr>
        <w:spacing w:after="100"/>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943225"/>
                    </a:xfrm>
                    <a:prstGeom prst="rect">
                      <a:avLst/>
                    </a:prstGeom>
                  </pic:spPr>
                </pic:pic>
              </a:graphicData>
            </a:graphic>
          </wp:inline>
        </w:drawing>
      </w:r>
    </w:p>
    <w:p>
      <w:pPr>
        <w:spacing w:after="250" w:line="360"/>
      </w:pPr>
      <w:r>
        <w:rPr>
          <w:rFonts w:ascii="Arial" w:cs="Arial" w:eastAsia="Arial" w:hAnsi="Arial"/>
          <w:i/>
          <w:iCs/>
          <w:sz w:val="20"/>
          <w:szCs w:val="20"/>
        </w:rPr>
        <w:t xml:space="preserve">Figure — ERD generated via dbdiagram.io, showing categories, products, transactions, and transaction_items with primary/foreign key relationships</w:t>
      </w:r>
    </w:p>
    <w:p>
      <w:pPr>
        <w:pStyle w:val="Heading2"/>
        <w:spacing w:after="200" w:before="300" w:line="360"/>
      </w:pPr>
      <w:r>
        <w:rPr>
          <w:rFonts w:ascii="Arial" w:cs="Arial" w:eastAsia="Arial" w:hAnsi="Arial"/>
          <w:b/>
          <w:bCs/>
        </w:rPr>
        <w:t xml:space="preserve">Populated Tables</w:t>
      </w:r>
    </w:p>
    <w:p>
      <w:pPr>
        <w:spacing w:after="100"/>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943225"/>
                    </a:xfrm>
                    <a:prstGeom prst="rect">
                      <a:avLst/>
                    </a:prstGeom>
                  </pic:spPr>
                </pic:pic>
              </a:graphicData>
            </a:graphic>
          </wp:inline>
        </w:drawing>
      </w:r>
    </w:p>
    <w:p>
      <w:pPr>
        <w:spacing w:after="250" w:line="360"/>
      </w:pPr>
      <w:r>
        <w:rPr>
          <w:rFonts w:ascii="Arial" w:cs="Arial" w:eastAsia="Arial" w:hAnsi="Arial"/>
          <w:i/>
          <w:iCs/>
          <w:sz w:val="20"/>
          <w:szCs w:val="20"/>
        </w:rPr>
        <w:t xml:space="preserve">Figure — categories table populated (9 rows), phpMyAdmin</w:t>
      </w:r>
    </w:p>
    <w:p>
      <w:pPr>
        <w:spacing w:after="100"/>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943225"/>
                    </a:xfrm>
                    <a:prstGeom prst="rect">
                      <a:avLst/>
                    </a:prstGeom>
                  </pic:spPr>
                </pic:pic>
              </a:graphicData>
            </a:graphic>
          </wp:inline>
        </w:drawing>
      </w:r>
    </w:p>
    <w:p>
      <w:pPr>
        <w:spacing w:after="250" w:line="360"/>
      </w:pPr>
      <w:r>
        <w:rPr>
          <w:rFonts w:ascii="Arial" w:cs="Arial" w:eastAsia="Arial" w:hAnsi="Arial"/>
          <w:i/>
          <w:iCs/>
          <w:sz w:val="20"/>
          <w:szCs w:val="20"/>
        </w:rPr>
        <w:t xml:space="preserve">Figure — products table populated (40 rows), phpMyAdmin</w:t>
      </w:r>
    </w:p>
    <w:p>
      <w:pPr>
        <w:spacing w:after="100"/>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943225"/>
                    </a:xfrm>
                    <a:prstGeom prst="rect">
                      <a:avLst/>
                    </a:prstGeom>
                  </pic:spPr>
                </pic:pic>
              </a:graphicData>
            </a:graphic>
          </wp:inline>
        </w:drawing>
      </w:r>
    </w:p>
    <w:p>
      <w:pPr>
        <w:spacing w:after="250" w:line="360"/>
      </w:pPr>
      <w:r>
        <w:rPr>
          <w:rFonts w:ascii="Arial" w:cs="Arial" w:eastAsia="Arial" w:hAnsi="Arial"/>
          <w:i/>
          <w:iCs/>
          <w:sz w:val="20"/>
          <w:szCs w:val="20"/>
        </w:rPr>
        <w:t xml:space="preserve">Figure — transactions table populated (2,532 rows), phpMyAdmin</w:t>
      </w:r>
    </w:p>
    <w:p>
      <w:pPr>
        <w:spacing w:after="100"/>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943225"/>
                    </a:xfrm>
                    <a:prstGeom prst="rect">
                      <a:avLst/>
                    </a:prstGeom>
                  </pic:spPr>
                </pic:pic>
              </a:graphicData>
            </a:graphic>
          </wp:inline>
        </w:drawing>
      </w:r>
    </w:p>
    <w:p>
      <w:pPr>
        <w:spacing w:after="250" w:line="360"/>
      </w:pPr>
      <w:r>
        <w:rPr>
          <w:rFonts w:ascii="Arial" w:cs="Arial" w:eastAsia="Arial" w:hAnsi="Arial"/>
          <w:i/>
          <w:iCs/>
          <w:sz w:val="20"/>
          <w:szCs w:val="20"/>
        </w:rPr>
        <w:t xml:space="preserve">Figure — transaction_items table populated (10,087 rows), phpMyAdmin</w:t>
      </w:r>
    </w:p>
    <w:p>
      <w:r>
        <w:br w:type="page"/>
      </w:r>
    </w:p>
    <w:p>
      <w:pPr>
        <w:pStyle w:val="Heading1"/>
        <w:spacing w:after="200" w:before="300" w:line="360"/>
      </w:pPr>
      <w:r>
        <w:rPr>
          <w:rFonts w:ascii="Arial" w:cs="Arial" w:eastAsia="Arial" w:hAnsi="Arial"/>
          <w:b/>
          <w:bCs/>
        </w:rPr>
        <w:t xml:space="preserve">Task 1.4 — SQL Query Report</w:t>
      </w:r>
    </w:p>
    <w:p>
      <w:pPr>
        <w:spacing w:after="200" w:line="360"/>
      </w:pPr>
      <w:r>
        <w:rPr>
          <w:rFonts w:ascii="Arial" w:cs="Arial" w:eastAsia="Arial" w:hAnsi="Arial"/>
          <w:sz w:val="24"/>
          <w:szCs w:val="24"/>
        </w:rPr>
        <w:t xml:space="preserve">Eight SQL queries were written and executed against the poblacion_grocery_mart database, covering SELECT with WHERE/ORDER BY, GROUP BY with aggregate functions, JOIN operations, and business-relevant queries answering the project's core research question.</w:t>
      </w:r>
    </w:p>
    <w:p>
      <w:pPr>
        <w:pStyle w:val="Heading3"/>
        <w:spacing w:after="200" w:before="300" w:line="360"/>
      </w:pPr>
      <w:r>
        <w:rPr>
          <w:rFonts w:ascii="Arial" w:cs="Arial" w:eastAsia="Arial" w:hAnsi="Arial"/>
          <w:b/>
          <w:bCs/>
        </w:rPr>
        <w:t xml:space="preserve">Query 1 — SELECT with WHERE + ORDER BY</w:t>
      </w:r>
    </w:p>
    <w:p>
      <w:pPr>
        <w:spacing w:after="150" w:line="360"/>
      </w:pPr>
      <w:r>
        <w:rPr>
          <w:rFonts w:ascii="Arial" w:cs="Arial" w:eastAsia="Arial" w:hAnsi="Arial"/>
          <w:i/>
          <w:iCs/>
          <w:sz w:val="24"/>
          <w:szCs w:val="24"/>
        </w:rPr>
        <w:t xml:space="preserve">Business question: What are our beverage prices, highest to lowest?</w:t>
      </w:r>
    </w:p>
    <w:p>
      <w:pPr>
        <w:shd w:fill="F2F2F2" w:val="clear"/>
        <w:spacing w:after="0" w:line="240"/>
      </w:pPr>
      <w:r>
        <w:rPr>
          <w:rFonts w:ascii="Consolas" w:cs="Consolas" w:eastAsia="Consolas" w:hAnsi="Consolas"/>
          <w:sz w:val="20"/>
          <w:szCs w:val="20"/>
        </w:rPr>
        <w:t xml:space="preserve">SELECT product_name, unit_price</w:t>
      </w:r>
    </w:p>
    <w:p>
      <w:pPr>
        <w:shd w:fill="F2F2F2" w:val="clear"/>
        <w:spacing w:after="0" w:line="240"/>
      </w:pPr>
      <w:r>
        <w:rPr>
          <w:rFonts w:ascii="Consolas" w:cs="Consolas" w:eastAsia="Consolas" w:hAnsi="Consolas"/>
          <w:sz w:val="20"/>
          <w:szCs w:val="20"/>
        </w:rPr>
        <w:t xml:space="preserve">FROM products</w:t>
      </w:r>
    </w:p>
    <w:p>
      <w:pPr>
        <w:shd w:fill="F2F2F2" w:val="clear"/>
        <w:spacing w:after="0" w:line="240"/>
      </w:pPr>
      <w:r>
        <w:rPr>
          <w:rFonts w:ascii="Consolas" w:cs="Consolas" w:eastAsia="Consolas" w:hAnsi="Consolas"/>
          <w:sz w:val="20"/>
          <w:szCs w:val="20"/>
        </w:rPr>
        <w:t xml:space="preserve">WHERE category_id = 3</w:t>
      </w:r>
    </w:p>
    <w:p>
      <w:pPr>
        <w:shd w:fill="F2F2F2" w:val="clear"/>
        <w:spacing w:after="0" w:line="240"/>
      </w:pPr>
      <w:r>
        <w:rPr>
          <w:rFonts w:ascii="Consolas" w:cs="Consolas" w:eastAsia="Consolas" w:hAnsi="Consolas"/>
          <w:sz w:val="20"/>
          <w:szCs w:val="20"/>
        </w:rPr>
        <w:t xml:space="preserve">ORDER BY unit_price DESC;</w:t>
      </w:r>
    </w:p>
    <w:p>
      <w:pPr>
        <w:spacing w:after="100"/>
      </w:pPr>
    </w:p>
    <w:p>
      <w:pPr>
        <w:spacing w:after="100"/>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943225"/>
                    </a:xfrm>
                    <a:prstGeom prst="rect">
                      <a:avLst/>
                    </a:prstGeom>
                  </pic:spPr>
                </pic:pic>
              </a:graphicData>
            </a:graphic>
          </wp:inline>
        </w:drawing>
      </w:r>
    </w:p>
    <w:p>
      <w:pPr>
        <w:spacing w:after="250" w:line="360"/>
      </w:pPr>
      <w:r>
        <w:rPr>
          <w:rFonts w:ascii="Arial" w:cs="Arial" w:eastAsia="Arial" w:hAnsi="Arial"/>
          <w:i/>
          <w:iCs/>
          <w:sz w:val="20"/>
          <w:szCs w:val="20"/>
        </w:rPr>
        <w:t xml:space="preserve">Figure — Query 1 result, phpMyAdmin</w:t>
      </w:r>
    </w:p>
    <w:p>
      <w:pPr>
        <w:spacing w:after="200" w:line="360"/>
      </w:pPr>
      <w:r>
        <w:rPr>
          <w:rFonts w:ascii="Arial" w:cs="Arial" w:eastAsia="Arial" w:hAnsi="Arial"/>
          <w:sz w:val="22"/>
          <w:szCs w:val="22"/>
        </w:rPr>
        <w:t xml:space="preserve">San Miguel Beer (case) is by far the priciest beverage at ₱780, more than 10 times the price of the next item, Coca-Cola 1.5L at ₱75, while Nescafe 3-in-1 sachets sell for as little as ₱9. This shows the beverage category spans a very wide price range, from a bulk adult beverage down to a single-serve daily staple, so pricing and promotion strategy for this category needs to account for very different customer needs and budgets.</w:t>
      </w:r>
    </w:p>
    <w:p>
      <w:pPr>
        <w:pStyle w:val="Heading3"/>
        <w:spacing w:after="200" w:before="300" w:line="360"/>
      </w:pPr>
      <w:r>
        <w:rPr>
          <w:rFonts w:ascii="Arial" w:cs="Arial" w:eastAsia="Arial" w:hAnsi="Arial"/>
          <w:b/>
          <w:bCs/>
        </w:rPr>
        <w:t xml:space="preserve">Query 2 — SELECT with WHERE + ORDER BY</w:t>
      </w:r>
    </w:p>
    <w:p>
      <w:pPr>
        <w:spacing w:after="150" w:line="360"/>
      </w:pPr>
      <w:r>
        <w:rPr>
          <w:rFonts w:ascii="Arial" w:cs="Arial" w:eastAsia="Arial" w:hAnsi="Arial"/>
          <w:i/>
          <w:iCs/>
          <w:sz w:val="24"/>
          <w:szCs w:val="24"/>
        </w:rPr>
        <w:t xml:space="preserve">Business question: What are our largest GCash transactions?</w:t>
      </w:r>
    </w:p>
    <w:p>
      <w:pPr>
        <w:shd w:fill="F2F2F2" w:val="clear"/>
        <w:spacing w:after="0" w:line="240"/>
      </w:pPr>
      <w:r>
        <w:rPr>
          <w:rFonts w:ascii="Consolas" w:cs="Consolas" w:eastAsia="Consolas" w:hAnsi="Consolas"/>
          <w:sz w:val="20"/>
          <w:szCs w:val="20"/>
        </w:rPr>
        <w:t xml:space="preserve">SELECT transaction_id, transaction_date, transaction_total</w:t>
      </w:r>
    </w:p>
    <w:p>
      <w:pPr>
        <w:shd w:fill="F2F2F2" w:val="clear"/>
        <w:spacing w:after="0" w:line="240"/>
      </w:pPr>
      <w:r>
        <w:rPr>
          <w:rFonts w:ascii="Consolas" w:cs="Consolas" w:eastAsia="Consolas" w:hAnsi="Consolas"/>
          <w:sz w:val="20"/>
          <w:szCs w:val="20"/>
        </w:rPr>
        <w:t xml:space="preserve">FROM transactions</w:t>
      </w:r>
    </w:p>
    <w:p>
      <w:pPr>
        <w:shd w:fill="F2F2F2" w:val="clear"/>
        <w:spacing w:after="0" w:line="240"/>
      </w:pPr>
      <w:r>
        <w:rPr>
          <w:rFonts w:ascii="Consolas" w:cs="Consolas" w:eastAsia="Consolas" w:hAnsi="Consolas"/>
          <w:sz w:val="20"/>
          <w:szCs w:val="20"/>
        </w:rPr>
        <w:t xml:space="preserve">WHERE payment_type = 'GCash' AND transaction_total &gt; 500</w:t>
      </w:r>
    </w:p>
    <w:p>
      <w:pPr>
        <w:shd w:fill="F2F2F2" w:val="clear"/>
        <w:spacing w:after="0" w:line="240"/>
      </w:pPr>
      <w:r>
        <w:rPr>
          <w:rFonts w:ascii="Consolas" w:cs="Consolas" w:eastAsia="Consolas" w:hAnsi="Consolas"/>
          <w:sz w:val="20"/>
          <w:szCs w:val="20"/>
        </w:rPr>
        <w:t xml:space="preserve">ORDER BY transaction_total DESC;</w:t>
      </w:r>
    </w:p>
    <w:p>
      <w:pPr>
        <w:spacing w:after="100"/>
      </w:pPr>
    </w:p>
    <w:p>
      <w:pPr>
        <w:spacing w:after="100"/>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2943225"/>
                    </a:xfrm>
                    <a:prstGeom prst="rect">
                      <a:avLst/>
                    </a:prstGeom>
                  </pic:spPr>
                </pic:pic>
              </a:graphicData>
            </a:graphic>
          </wp:inline>
        </w:drawing>
      </w:r>
    </w:p>
    <w:p>
      <w:pPr>
        <w:spacing w:after="250" w:line="360"/>
      </w:pPr>
      <w:r>
        <w:rPr>
          <w:rFonts w:ascii="Arial" w:cs="Arial" w:eastAsia="Arial" w:hAnsi="Arial"/>
          <w:i/>
          <w:iCs/>
          <w:sz w:val="20"/>
          <w:szCs w:val="20"/>
        </w:rPr>
        <w:t xml:space="preserve">Figure — Query 2 result, phpMyAdmin</w:t>
      </w:r>
    </w:p>
    <w:p>
      <w:pPr>
        <w:spacing w:after="200" w:line="360"/>
      </w:pPr>
      <w:r>
        <w:rPr>
          <w:rFonts w:ascii="Arial" w:cs="Arial" w:eastAsia="Arial" w:hAnsi="Arial"/>
          <w:sz w:val="22"/>
          <w:szCs w:val="22"/>
        </w:rPr>
        <w:t xml:space="preserve">333 GCash transactions exceeded ₱500, with the single largest reaching ₱6,355 on April 14, 2026. This shows GCash is not just used for small convenience purchases — customers are comfortable using it for sizable grocery runs as well, which is useful to know if the store wants to further encourage cashless payments.</w:t>
      </w:r>
    </w:p>
    <w:p>
      <w:pPr>
        <w:pStyle w:val="Heading3"/>
        <w:spacing w:after="200" w:before="300" w:line="360"/>
      </w:pPr>
      <w:r>
        <w:rPr>
          <w:rFonts w:ascii="Arial" w:cs="Arial" w:eastAsia="Arial" w:hAnsi="Arial"/>
          <w:b/>
          <w:bCs/>
        </w:rPr>
        <w:t xml:space="preserve">Query 3 — GROUP BY with aggregate functions</w:t>
      </w:r>
    </w:p>
    <w:p>
      <w:pPr>
        <w:spacing w:after="150" w:line="360"/>
      </w:pPr>
      <w:r>
        <w:rPr>
          <w:rFonts w:ascii="Arial" w:cs="Arial" w:eastAsia="Arial" w:hAnsi="Arial"/>
          <w:i/>
          <w:iCs/>
          <w:sz w:val="24"/>
          <w:szCs w:val="24"/>
        </w:rPr>
        <w:t xml:space="preserve">Business question: How much revenue comes from each payment method?</w:t>
      </w:r>
    </w:p>
    <w:p>
      <w:pPr>
        <w:shd w:fill="F2F2F2" w:val="clear"/>
        <w:spacing w:after="0" w:line="240"/>
      </w:pPr>
      <w:r>
        <w:rPr>
          <w:rFonts w:ascii="Consolas" w:cs="Consolas" w:eastAsia="Consolas" w:hAnsi="Consolas"/>
          <w:sz w:val="20"/>
          <w:szCs w:val="20"/>
        </w:rPr>
        <w:t xml:space="preserve">SELECT payment_type,</w:t>
      </w:r>
    </w:p>
    <w:p>
      <w:pPr>
        <w:shd w:fill="F2F2F2" w:val="clear"/>
        <w:spacing w:after="0" w:line="240"/>
      </w:pPr>
      <w:r>
        <w:rPr>
          <w:rFonts w:ascii="Consolas" w:cs="Consolas" w:eastAsia="Consolas" w:hAnsi="Consolas"/>
          <w:sz w:val="20"/>
          <w:szCs w:val="20"/>
        </w:rPr>
        <w:t xml:space="preserve">       COUNT(*) AS num_transactions,</w:t>
      </w:r>
    </w:p>
    <w:p>
      <w:pPr>
        <w:shd w:fill="F2F2F2" w:val="clear"/>
        <w:spacing w:after="0" w:line="240"/>
      </w:pPr>
      <w:r>
        <w:rPr>
          <w:rFonts w:ascii="Consolas" w:cs="Consolas" w:eastAsia="Consolas" w:hAnsi="Consolas"/>
          <w:sz w:val="20"/>
          <w:szCs w:val="20"/>
        </w:rPr>
        <w:t xml:space="preserve">       SUM(transaction_total) AS total_revenue,</w:t>
      </w:r>
    </w:p>
    <w:p>
      <w:pPr>
        <w:shd w:fill="F2F2F2" w:val="clear"/>
        <w:spacing w:after="0" w:line="240"/>
      </w:pPr>
      <w:r>
        <w:rPr>
          <w:rFonts w:ascii="Consolas" w:cs="Consolas" w:eastAsia="Consolas" w:hAnsi="Consolas"/>
          <w:sz w:val="20"/>
          <w:szCs w:val="20"/>
        </w:rPr>
        <w:t xml:space="preserve">       AVG(transaction_total) AS avg_transaction_value</w:t>
      </w:r>
    </w:p>
    <w:p>
      <w:pPr>
        <w:shd w:fill="F2F2F2" w:val="clear"/>
        <w:spacing w:after="0" w:line="240"/>
      </w:pPr>
      <w:r>
        <w:rPr>
          <w:rFonts w:ascii="Consolas" w:cs="Consolas" w:eastAsia="Consolas" w:hAnsi="Consolas"/>
          <w:sz w:val="20"/>
          <w:szCs w:val="20"/>
        </w:rPr>
        <w:t xml:space="preserve">FROM transactions</w:t>
      </w:r>
    </w:p>
    <w:p>
      <w:pPr>
        <w:shd w:fill="F2F2F2" w:val="clear"/>
        <w:spacing w:after="0" w:line="240"/>
      </w:pPr>
      <w:r>
        <w:rPr>
          <w:rFonts w:ascii="Consolas" w:cs="Consolas" w:eastAsia="Consolas" w:hAnsi="Consolas"/>
          <w:sz w:val="20"/>
          <w:szCs w:val="20"/>
        </w:rPr>
        <w:t xml:space="preserve">GROUP BY payment_type</w:t>
      </w:r>
    </w:p>
    <w:p>
      <w:pPr>
        <w:shd w:fill="F2F2F2" w:val="clear"/>
        <w:spacing w:after="0" w:line="240"/>
      </w:pPr>
      <w:r>
        <w:rPr>
          <w:rFonts w:ascii="Consolas" w:cs="Consolas" w:eastAsia="Consolas" w:hAnsi="Consolas"/>
          <w:sz w:val="20"/>
          <w:szCs w:val="20"/>
        </w:rPr>
        <w:t xml:space="preserve">ORDER BY total_revenue DESC;</w:t>
      </w:r>
    </w:p>
    <w:p>
      <w:pPr>
        <w:spacing w:after="100"/>
      </w:pPr>
    </w:p>
    <w:p>
      <w:pPr>
        <w:spacing w:after="100"/>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943225"/>
                    </a:xfrm>
                    <a:prstGeom prst="rect">
                      <a:avLst/>
                    </a:prstGeom>
                  </pic:spPr>
                </pic:pic>
              </a:graphicData>
            </a:graphic>
          </wp:inline>
        </w:drawing>
      </w:r>
    </w:p>
    <w:p>
      <w:pPr>
        <w:spacing w:after="250" w:line="360"/>
      </w:pPr>
      <w:r>
        <w:rPr>
          <w:rFonts w:ascii="Arial" w:cs="Arial" w:eastAsia="Arial" w:hAnsi="Arial"/>
          <w:i/>
          <w:iCs/>
          <w:sz w:val="20"/>
          <w:szCs w:val="20"/>
        </w:rPr>
        <w:t xml:space="preserve">Figure — Query 3 result, phpMyAdmin</w:t>
      </w:r>
    </w:p>
    <w:p>
      <w:pPr>
        <w:spacing w:after="200" w:line="360"/>
      </w:pPr>
      <w:r>
        <w:rPr>
          <w:rFonts w:ascii="Arial" w:cs="Arial" w:eastAsia="Arial" w:hAnsi="Arial"/>
          <w:sz w:val="22"/>
          <w:szCs w:val="22"/>
        </w:rPr>
        <w:t xml:space="preserve">Cash remains the dominant payment method by volume, with 1,521 transactions generating ₱1,627,701 in revenue — more than the other three methods combined. However, GCash has the highest average transaction value at ₱1,183.98, followed closely by Credit/Utang at ₱1,099.50, suggesting that customers who pay digitally or on credit tend to buy more per visit than cash customers, who may be making smaller, more frequent purchases.</w:t>
      </w:r>
    </w:p>
    <w:p>
      <w:pPr>
        <w:pStyle w:val="Heading3"/>
        <w:spacing w:after="200" w:before="300" w:line="360"/>
      </w:pPr>
      <w:r>
        <w:rPr>
          <w:rFonts w:ascii="Arial" w:cs="Arial" w:eastAsia="Arial" w:hAnsi="Arial"/>
          <w:b/>
          <w:bCs/>
        </w:rPr>
        <w:t xml:space="preserve">Query 4 — GROUP BY with aggregate functions</w:t>
      </w:r>
    </w:p>
    <w:p>
      <w:pPr>
        <w:spacing w:after="150" w:line="360"/>
      </w:pPr>
      <w:r>
        <w:rPr>
          <w:rFonts w:ascii="Arial" w:cs="Arial" w:eastAsia="Arial" w:hAnsi="Arial"/>
          <w:i/>
          <w:iCs/>
          <w:sz w:val="24"/>
          <w:szCs w:val="24"/>
        </w:rPr>
        <w:t xml:space="preserve">Business question: How does revenue trend month over month?</w:t>
      </w:r>
    </w:p>
    <w:p>
      <w:pPr>
        <w:shd w:fill="F2F2F2" w:val="clear"/>
        <w:spacing w:after="0" w:line="240"/>
      </w:pPr>
      <w:r>
        <w:rPr>
          <w:rFonts w:ascii="Consolas" w:cs="Consolas" w:eastAsia="Consolas" w:hAnsi="Consolas"/>
          <w:sz w:val="20"/>
          <w:szCs w:val="20"/>
        </w:rPr>
        <w:t xml:space="preserve">SELECT DATE_FORMAT(transaction_date, '%Y-%m') AS sales_month,</w:t>
      </w:r>
    </w:p>
    <w:p>
      <w:pPr>
        <w:shd w:fill="F2F2F2" w:val="clear"/>
        <w:spacing w:after="0" w:line="240"/>
      </w:pPr>
      <w:r>
        <w:rPr>
          <w:rFonts w:ascii="Consolas" w:cs="Consolas" w:eastAsia="Consolas" w:hAnsi="Consolas"/>
          <w:sz w:val="20"/>
          <w:szCs w:val="20"/>
        </w:rPr>
        <w:t xml:space="preserve">       COUNT(*) AS num_transactions,</w:t>
      </w:r>
    </w:p>
    <w:p>
      <w:pPr>
        <w:shd w:fill="F2F2F2" w:val="clear"/>
        <w:spacing w:after="0" w:line="240"/>
      </w:pPr>
      <w:r>
        <w:rPr>
          <w:rFonts w:ascii="Consolas" w:cs="Consolas" w:eastAsia="Consolas" w:hAnsi="Consolas"/>
          <w:sz w:val="20"/>
          <w:szCs w:val="20"/>
        </w:rPr>
        <w:t xml:space="preserve">       SUM(transaction_total) AS monthly_revenue</w:t>
      </w:r>
    </w:p>
    <w:p>
      <w:pPr>
        <w:shd w:fill="F2F2F2" w:val="clear"/>
        <w:spacing w:after="0" w:line="240"/>
      </w:pPr>
      <w:r>
        <w:rPr>
          <w:rFonts w:ascii="Consolas" w:cs="Consolas" w:eastAsia="Consolas" w:hAnsi="Consolas"/>
          <w:sz w:val="20"/>
          <w:szCs w:val="20"/>
        </w:rPr>
        <w:t xml:space="preserve">FROM transactions</w:t>
      </w:r>
    </w:p>
    <w:p>
      <w:pPr>
        <w:shd w:fill="F2F2F2" w:val="clear"/>
        <w:spacing w:after="0" w:line="240"/>
      </w:pPr>
      <w:r>
        <w:rPr>
          <w:rFonts w:ascii="Consolas" w:cs="Consolas" w:eastAsia="Consolas" w:hAnsi="Consolas"/>
          <w:sz w:val="20"/>
          <w:szCs w:val="20"/>
        </w:rPr>
        <w:t xml:space="preserve">GROUP BY sales_month</w:t>
      </w:r>
    </w:p>
    <w:p>
      <w:pPr>
        <w:shd w:fill="F2F2F2" w:val="clear"/>
        <w:spacing w:after="0" w:line="240"/>
      </w:pPr>
      <w:r>
        <w:rPr>
          <w:rFonts w:ascii="Consolas" w:cs="Consolas" w:eastAsia="Consolas" w:hAnsi="Consolas"/>
          <w:sz w:val="20"/>
          <w:szCs w:val="20"/>
        </w:rPr>
        <w:t xml:space="preserve">ORDER BY sales_month;</w:t>
      </w:r>
    </w:p>
    <w:p>
      <w:pPr>
        <w:spacing w:after="100"/>
      </w:pPr>
    </w:p>
    <w:p>
      <w:pPr>
        <w:spacing w:after="100"/>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2943225"/>
                    </a:xfrm>
                    <a:prstGeom prst="rect">
                      <a:avLst/>
                    </a:prstGeom>
                  </pic:spPr>
                </pic:pic>
              </a:graphicData>
            </a:graphic>
          </wp:inline>
        </w:drawing>
      </w:r>
    </w:p>
    <w:p>
      <w:pPr>
        <w:spacing w:after="250" w:line="360"/>
      </w:pPr>
      <w:r>
        <w:rPr>
          <w:rFonts w:ascii="Arial" w:cs="Arial" w:eastAsia="Arial" w:hAnsi="Arial"/>
          <w:i/>
          <w:iCs/>
          <w:sz w:val="20"/>
          <w:szCs w:val="20"/>
        </w:rPr>
        <w:t xml:space="preserve">Figure — Query 4 result, phpMyAdmin</w:t>
      </w:r>
    </w:p>
    <w:p>
      <w:pPr>
        <w:spacing w:after="200" w:line="360"/>
      </w:pPr>
      <w:r>
        <w:rPr>
          <w:rFonts w:ascii="Arial" w:cs="Arial" w:eastAsia="Arial" w:hAnsi="Arial"/>
          <w:sz w:val="22"/>
          <w:szCs w:val="22"/>
        </w:rPr>
        <w:t xml:space="preserve">Monthly revenue stayed fairly stable across the 6-month period, ranging from a low of ₱410,992 in February to a high of ₱533,930 in April. April stood out as the strongest month in both transaction count (453) and revenue, which could be worth investigating further, but overall the store shows consistent rather than sharply fluctuating month-to-month sales.</w:t>
      </w:r>
    </w:p>
    <w:p>
      <w:pPr>
        <w:pStyle w:val="Heading3"/>
        <w:spacing w:after="200" w:before="300" w:line="360"/>
      </w:pPr>
      <w:r>
        <w:rPr>
          <w:rFonts w:ascii="Arial" w:cs="Arial" w:eastAsia="Arial" w:hAnsi="Arial"/>
          <w:b/>
          <w:bCs/>
        </w:rPr>
        <w:t xml:space="preserve">Query 5 — JOIN</w:t>
      </w:r>
    </w:p>
    <w:p>
      <w:pPr>
        <w:spacing w:after="150" w:line="360"/>
      </w:pPr>
      <w:r>
        <w:rPr>
          <w:rFonts w:ascii="Arial" w:cs="Arial" w:eastAsia="Arial" w:hAnsi="Arial"/>
          <w:i/>
          <w:iCs/>
          <w:sz w:val="24"/>
          <w:szCs w:val="24"/>
        </w:rPr>
        <w:t xml:space="preserve">Business question: What products do we carry, organized by category?</w:t>
      </w:r>
    </w:p>
    <w:p>
      <w:pPr>
        <w:shd w:fill="F2F2F2" w:val="clear"/>
        <w:spacing w:after="0" w:line="240"/>
      </w:pPr>
      <w:r>
        <w:rPr>
          <w:rFonts w:ascii="Consolas" w:cs="Consolas" w:eastAsia="Consolas" w:hAnsi="Consolas"/>
          <w:sz w:val="20"/>
          <w:szCs w:val="20"/>
        </w:rPr>
        <w:t xml:space="preserve">SELECT p.product_name, c.category_name, p.unit_price</w:t>
      </w:r>
    </w:p>
    <w:p>
      <w:pPr>
        <w:shd w:fill="F2F2F2" w:val="clear"/>
        <w:spacing w:after="0" w:line="240"/>
      </w:pPr>
      <w:r>
        <w:rPr>
          <w:rFonts w:ascii="Consolas" w:cs="Consolas" w:eastAsia="Consolas" w:hAnsi="Consolas"/>
          <w:sz w:val="20"/>
          <w:szCs w:val="20"/>
        </w:rPr>
        <w:t xml:space="preserve">FROM products p</w:t>
      </w:r>
    </w:p>
    <w:p>
      <w:pPr>
        <w:shd w:fill="F2F2F2" w:val="clear"/>
        <w:spacing w:after="0" w:line="240"/>
      </w:pPr>
      <w:r>
        <w:rPr>
          <w:rFonts w:ascii="Consolas" w:cs="Consolas" w:eastAsia="Consolas" w:hAnsi="Consolas"/>
          <w:sz w:val="20"/>
          <w:szCs w:val="20"/>
        </w:rPr>
        <w:t xml:space="preserve">JOIN categories c ON p.category_id = c.category_id</w:t>
      </w:r>
    </w:p>
    <w:p>
      <w:pPr>
        <w:shd w:fill="F2F2F2" w:val="clear"/>
        <w:spacing w:after="0" w:line="240"/>
      </w:pPr>
      <w:r>
        <w:rPr>
          <w:rFonts w:ascii="Consolas" w:cs="Consolas" w:eastAsia="Consolas" w:hAnsi="Consolas"/>
          <w:sz w:val="20"/>
          <w:szCs w:val="20"/>
        </w:rPr>
        <w:t xml:space="preserve">ORDER BY c.category_name, p.product_name;</w:t>
      </w:r>
    </w:p>
    <w:p>
      <w:pPr>
        <w:spacing w:after="100"/>
      </w:pPr>
    </w:p>
    <w:p>
      <w:pPr>
        <w:spacing w:after="100"/>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2943225"/>
                    </a:xfrm>
                    <a:prstGeom prst="rect">
                      <a:avLst/>
                    </a:prstGeom>
                  </pic:spPr>
                </pic:pic>
              </a:graphicData>
            </a:graphic>
          </wp:inline>
        </w:drawing>
      </w:r>
    </w:p>
    <w:p>
      <w:pPr>
        <w:spacing w:after="250" w:line="360"/>
      </w:pPr>
      <w:r>
        <w:rPr>
          <w:rFonts w:ascii="Arial" w:cs="Arial" w:eastAsia="Arial" w:hAnsi="Arial"/>
          <w:i/>
          <w:iCs/>
          <w:sz w:val="20"/>
          <w:szCs w:val="20"/>
        </w:rPr>
        <w:t xml:space="preserve">Figure — Query 5 result, phpMyAdmin</w:t>
      </w:r>
    </w:p>
    <w:p>
      <w:pPr>
        <w:spacing w:after="200" w:line="360"/>
      </w:pPr>
      <w:r>
        <w:rPr>
          <w:rFonts w:ascii="Arial" w:cs="Arial" w:eastAsia="Arial" w:hAnsi="Arial"/>
          <w:sz w:val="22"/>
          <w:szCs w:val="22"/>
        </w:rPr>
        <w:t xml:space="preserve">This query confirms that every product in the catalog is correctly linked to a category, from Beverages to Bread &amp; Bakery to Canned Goods and beyond. Having this relationship in place is what makes it possible to reliably group and compare products by category later on, which is the foundation for answering the deeper business questions in Queries 7 and 8.</w:t>
      </w:r>
    </w:p>
    <w:p>
      <w:pPr>
        <w:pStyle w:val="Heading3"/>
        <w:spacing w:after="200" w:before="300" w:line="360"/>
      </w:pPr>
      <w:r>
        <w:rPr>
          <w:rFonts w:ascii="Arial" w:cs="Arial" w:eastAsia="Arial" w:hAnsi="Arial"/>
          <w:b/>
          <w:bCs/>
        </w:rPr>
        <w:t xml:space="preserve">Query 6 — JOIN</w:t>
      </w:r>
    </w:p>
    <w:p>
      <w:pPr>
        <w:spacing w:after="150" w:line="360"/>
      </w:pPr>
      <w:r>
        <w:rPr>
          <w:rFonts w:ascii="Arial" w:cs="Arial" w:eastAsia="Arial" w:hAnsi="Arial"/>
          <w:i/>
          <w:iCs/>
          <w:sz w:val="24"/>
          <w:szCs w:val="24"/>
        </w:rPr>
        <w:t xml:space="preserve">Business question: What products were sold in each transaction?</w:t>
      </w:r>
    </w:p>
    <w:p>
      <w:pPr>
        <w:shd w:fill="F2F2F2" w:val="clear"/>
        <w:spacing w:after="0" w:line="240"/>
      </w:pPr>
      <w:r>
        <w:rPr>
          <w:rFonts w:ascii="Consolas" w:cs="Consolas" w:eastAsia="Consolas" w:hAnsi="Consolas"/>
          <w:sz w:val="20"/>
          <w:szCs w:val="20"/>
        </w:rPr>
        <w:t xml:space="preserve">SELECT ti.transaction_id, p.product_name, ti.quantity, ti.subtotal</w:t>
      </w:r>
    </w:p>
    <w:p>
      <w:pPr>
        <w:shd w:fill="F2F2F2" w:val="clear"/>
        <w:spacing w:after="0" w:line="240"/>
      </w:pPr>
      <w:r>
        <w:rPr>
          <w:rFonts w:ascii="Consolas" w:cs="Consolas" w:eastAsia="Consolas" w:hAnsi="Consolas"/>
          <w:sz w:val="20"/>
          <w:szCs w:val="20"/>
        </w:rPr>
        <w:t xml:space="preserve">FROM transaction_items ti</w:t>
      </w:r>
    </w:p>
    <w:p>
      <w:pPr>
        <w:shd w:fill="F2F2F2" w:val="clear"/>
        <w:spacing w:after="0" w:line="240"/>
      </w:pPr>
      <w:r>
        <w:rPr>
          <w:rFonts w:ascii="Consolas" w:cs="Consolas" w:eastAsia="Consolas" w:hAnsi="Consolas"/>
          <w:sz w:val="20"/>
          <w:szCs w:val="20"/>
        </w:rPr>
        <w:t xml:space="preserve">JOIN products p ON ti.product_id = p.product_id</w:t>
      </w:r>
    </w:p>
    <w:p>
      <w:pPr>
        <w:shd w:fill="F2F2F2" w:val="clear"/>
        <w:spacing w:after="0" w:line="240"/>
      </w:pPr>
      <w:r>
        <w:rPr>
          <w:rFonts w:ascii="Consolas" w:cs="Consolas" w:eastAsia="Consolas" w:hAnsi="Consolas"/>
          <w:sz w:val="20"/>
          <w:szCs w:val="20"/>
        </w:rPr>
        <w:t xml:space="preserve">ORDER BY ti.transaction_id</w:t>
      </w:r>
    </w:p>
    <w:p>
      <w:pPr>
        <w:shd w:fill="F2F2F2" w:val="clear"/>
        <w:spacing w:after="0" w:line="240"/>
      </w:pPr>
      <w:r>
        <w:rPr>
          <w:rFonts w:ascii="Consolas" w:cs="Consolas" w:eastAsia="Consolas" w:hAnsi="Consolas"/>
          <w:sz w:val="20"/>
          <w:szCs w:val="20"/>
        </w:rPr>
        <w:t xml:space="preserve">LIMIT 50;</w:t>
      </w:r>
    </w:p>
    <w:p>
      <w:pPr>
        <w:spacing w:after="100"/>
      </w:pPr>
    </w:p>
    <w:p>
      <w:pPr>
        <w:spacing w:after="100"/>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2943225"/>
                    </a:xfrm>
                    <a:prstGeom prst="rect">
                      <a:avLst/>
                    </a:prstGeom>
                  </pic:spPr>
                </pic:pic>
              </a:graphicData>
            </a:graphic>
          </wp:inline>
        </w:drawing>
      </w:r>
    </w:p>
    <w:p>
      <w:pPr>
        <w:spacing w:after="250" w:line="360"/>
      </w:pPr>
      <w:r>
        <w:rPr>
          <w:rFonts w:ascii="Arial" w:cs="Arial" w:eastAsia="Arial" w:hAnsi="Arial"/>
          <w:i/>
          <w:iCs/>
          <w:sz w:val="20"/>
          <w:szCs w:val="20"/>
        </w:rPr>
        <w:t xml:space="preserve">Figure — Query 6 result, phpMyAdmin</w:t>
      </w:r>
    </w:p>
    <w:p>
      <w:pPr>
        <w:spacing w:after="200" w:line="360"/>
      </w:pPr>
      <w:r>
        <w:rPr>
          <w:rFonts w:ascii="Arial" w:cs="Arial" w:eastAsia="Arial" w:hAnsi="Arial"/>
          <w:sz w:val="22"/>
          <w:szCs w:val="22"/>
        </w:rPr>
        <w:t xml:space="preserve">This query gives a transaction-level view of what customers actually buy together — for example, transaction 1004 included rice, eggs, bleach, bread, and multigrain crackers all in one visit. Seeing several line items under the same transaction_id confirms that customers commonly do multi-category grocery runs rather than single-item purchases, which points to opportunities like bundling items that are frequently bought together.</w:t>
      </w:r>
    </w:p>
    <w:p>
      <w:pPr>
        <w:pStyle w:val="Heading3"/>
        <w:spacing w:after="200" w:before="300" w:line="360"/>
      </w:pPr>
      <w:r>
        <w:rPr>
          <w:rFonts w:ascii="Arial" w:cs="Arial" w:eastAsia="Arial" w:hAnsi="Arial"/>
          <w:b/>
          <w:bCs/>
        </w:rPr>
        <w:t xml:space="preserve">Query 7 — Business-relevant query (core research question)</w:t>
      </w:r>
    </w:p>
    <w:p>
      <w:pPr>
        <w:spacing w:after="150" w:line="360"/>
      </w:pPr>
      <w:r>
        <w:rPr>
          <w:rFonts w:ascii="Arial" w:cs="Arial" w:eastAsia="Arial" w:hAnsi="Arial"/>
          <w:i/>
          <w:iCs/>
          <w:sz w:val="24"/>
          <w:szCs w:val="24"/>
        </w:rPr>
        <w:t xml:space="preserve">Business question: Which product category drives the most revenue?</w:t>
      </w:r>
    </w:p>
    <w:p>
      <w:pPr>
        <w:shd w:fill="F2F2F2" w:val="clear"/>
        <w:spacing w:after="0" w:line="240"/>
      </w:pPr>
      <w:r>
        <w:rPr>
          <w:rFonts w:ascii="Consolas" w:cs="Consolas" w:eastAsia="Consolas" w:hAnsi="Consolas"/>
          <w:sz w:val="20"/>
          <w:szCs w:val="20"/>
        </w:rPr>
        <w:t xml:space="preserve">SELECT c.category_name,</w:t>
      </w:r>
    </w:p>
    <w:p>
      <w:pPr>
        <w:shd w:fill="F2F2F2" w:val="clear"/>
        <w:spacing w:after="0" w:line="240"/>
      </w:pPr>
      <w:r>
        <w:rPr>
          <w:rFonts w:ascii="Consolas" w:cs="Consolas" w:eastAsia="Consolas" w:hAnsi="Consolas"/>
          <w:sz w:val="20"/>
          <w:szCs w:val="20"/>
        </w:rPr>
        <w:t xml:space="preserve">       SUM(ti.subtotal) AS total_revenue,</w:t>
      </w:r>
    </w:p>
    <w:p>
      <w:pPr>
        <w:shd w:fill="F2F2F2" w:val="clear"/>
        <w:spacing w:after="0" w:line="240"/>
      </w:pPr>
      <w:r>
        <w:rPr>
          <w:rFonts w:ascii="Consolas" w:cs="Consolas" w:eastAsia="Consolas" w:hAnsi="Consolas"/>
          <w:sz w:val="20"/>
          <w:szCs w:val="20"/>
        </w:rPr>
        <w:t xml:space="preserve">       COUNT(DISTINCT ti.transaction_id) AS num_transactions</w:t>
      </w:r>
    </w:p>
    <w:p>
      <w:pPr>
        <w:shd w:fill="F2F2F2" w:val="clear"/>
        <w:spacing w:after="0" w:line="240"/>
      </w:pPr>
      <w:r>
        <w:rPr>
          <w:rFonts w:ascii="Consolas" w:cs="Consolas" w:eastAsia="Consolas" w:hAnsi="Consolas"/>
          <w:sz w:val="20"/>
          <w:szCs w:val="20"/>
        </w:rPr>
        <w:t xml:space="preserve">FROM transaction_items ti</w:t>
      </w:r>
    </w:p>
    <w:p>
      <w:pPr>
        <w:shd w:fill="F2F2F2" w:val="clear"/>
        <w:spacing w:after="0" w:line="240"/>
      </w:pPr>
      <w:r>
        <w:rPr>
          <w:rFonts w:ascii="Consolas" w:cs="Consolas" w:eastAsia="Consolas" w:hAnsi="Consolas"/>
          <w:sz w:val="20"/>
          <w:szCs w:val="20"/>
        </w:rPr>
        <w:t xml:space="preserve">JOIN products p ON ti.product_id = p.product_id</w:t>
      </w:r>
    </w:p>
    <w:p>
      <w:pPr>
        <w:shd w:fill="F2F2F2" w:val="clear"/>
        <w:spacing w:after="0" w:line="240"/>
      </w:pPr>
      <w:r>
        <w:rPr>
          <w:rFonts w:ascii="Consolas" w:cs="Consolas" w:eastAsia="Consolas" w:hAnsi="Consolas"/>
          <w:sz w:val="20"/>
          <w:szCs w:val="20"/>
        </w:rPr>
        <w:t xml:space="preserve">JOIN categories c ON p.category_id = c.category_id</w:t>
      </w:r>
    </w:p>
    <w:p>
      <w:pPr>
        <w:shd w:fill="F2F2F2" w:val="clear"/>
        <w:spacing w:after="0" w:line="240"/>
      </w:pPr>
      <w:r>
        <w:rPr>
          <w:rFonts w:ascii="Consolas" w:cs="Consolas" w:eastAsia="Consolas" w:hAnsi="Consolas"/>
          <w:sz w:val="20"/>
          <w:szCs w:val="20"/>
        </w:rPr>
        <w:t xml:space="preserve">GROUP BY c.category_name</w:t>
      </w:r>
    </w:p>
    <w:p>
      <w:pPr>
        <w:shd w:fill="F2F2F2" w:val="clear"/>
        <w:spacing w:after="0" w:line="240"/>
      </w:pPr>
      <w:r>
        <w:rPr>
          <w:rFonts w:ascii="Consolas" w:cs="Consolas" w:eastAsia="Consolas" w:hAnsi="Consolas"/>
          <w:sz w:val="20"/>
          <w:szCs w:val="20"/>
        </w:rPr>
        <w:t xml:space="preserve">ORDER BY total_revenue DESC;</w:t>
      </w:r>
    </w:p>
    <w:p>
      <w:pPr>
        <w:spacing w:after="100"/>
      </w:pPr>
    </w:p>
    <w:p>
      <w:pPr>
        <w:spacing w:after="100"/>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2943225"/>
                    </a:xfrm>
                    <a:prstGeom prst="rect">
                      <a:avLst/>
                    </a:prstGeom>
                  </pic:spPr>
                </pic:pic>
              </a:graphicData>
            </a:graphic>
          </wp:inline>
        </w:drawing>
      </w:r>
    </w:p>
    <w:p>
      <w:pPr>
        <w:spacing w:after="250" w:line="360"/>
      </w:pPr>
      <w:r>
        <w:rPr>
          <w:rFonts w:ascii="Arial" w:cs="Arial" w:eastAsia="Arial" w:hAnsi="Arial"/>
          <w:i/>
          <w:iCs/>
          <w:sz w:val="20"/>
          <w:szCs w:val="20"/>
        </w:rPr>
        <w:t xml:space="preserve">Figure — Query 7 result, phpMyAdmin</w:t>
      </w:r>
    </w:p>
    <w:p>
      <w:pPr>
        <w:spacing w:after="200" w:line="360"/>
      </w:pPr>
      <w:r>
        <w:rPr>
          <w:rFonts w:ascii="Arial" w:cs="Arial" w:eastAsia="Arial" w:hAnsi="Arial"/>
          <w:sz w:val="22"/>
          <w:szCs w:val="22"/>
        </w:rPr>
        <w:t xml:space="preserve">Rice &amp; Staples generates the most revenue of any category at ₱1,028,760, well ahead of Frozen &amp; Dairy (₱491,710) and Beverages (₱427,095), which directly answers the project’s core business question. Interestingly, Rice &amp; Staples has fewer transactions (688) than Frozen &amp; Dairy (1,076) or Beverages (1,002), which suggests its revenue lead comes from higher-value purchases like sacks of rice rather than sheer purchase frequency.</w:t>
      </w:r>
    </w:p>
    <w:p>
      <w:pPr>
        <w:pStyle w:val="Heading3"/>
        <w:spacing w:after="200" w:before="300" w:line="360"/>
      </w:pPr>
      <w:r>
        <w:rPr>
          <w:rFonts w:ascii="Arial" w:cs="Arial" w:eastAsia="Arial" w:hAnsi="Arial"/>
          <w:b/>
          <w:bCs/>
        </w:rPr>
        <w:t xml:space="preserve">Query 8 — Business-relevant query</w:t>
      </w:r>
    </w:p>
    <w:p>
      <w:pPr>
        <w:spacing w:after="150" w:line="360"/>
      </w:pPr>
      <w:r>
        <w:rPr>
          <w:rFonts w:ascii="Arial" w:cs="Arial" w:eastAsia="Arial" w:hAnsi="Arial"/>
          <w:i/>
          <w:iCs/>
          <w:sz w:val="24"/>
          <w:szCs w:val="24"/>
        </w:rPr>
        <w:t xml:space="preserve">Business question: What are the top 10 individual products by revenue?</w:t>
      </w:r>
    </w:p>
    <w:p>
      <w:pPr>
        <w:shd w:fill="F2F2F2" w:val="clear"/>
        <w:spacing w:after="0" w:line="240"/>
      </w:pPr>
      <w:r>
        <w:rPr>
          <w:rFonts w:ascii="Consolas" w:cs="Consolas" w:eastAsia="Consolas" w:hAnsi="Consolas"/>
          <w:sz w:val="20"/>
          <w:szCs w:val="20"/>
        </w:rPr>
        <w:t xml:space="preserve">SELECT p.product_name, c.category_name,</w:t>
      </w:r>
    </w:p>
    <w:p>
      <w:pPr>
        <w:shd w:fill="F2F2F2" w:val="clear"/>
        <w:spacing w:after="0" w:line="240"/>
      </w:pPr>
      <w:r>
        <w:rPr>
          <w:rFonts w:ascii="Consolas" w:cs="Consolas" w:eastAsia="Consolas" w:hAnsi="Consolas"/>
          <w:sz w:val="20"/>
          <w:szCs w:val="20"/>
        </w:rPr>
        <w:t xml:space="preserve">       SUM(ti.quantity) AS units_sold,</w:t>
      </w:r>
    </w:p>
    <w:p>
      <w:pPr>
        <w:shd w:fill="F2F2F2" w:val="clear"/>
        <w:spacing w:after="0" w:line="240"/>
      </w:pPr>
      <w:r>
        <w:rPr>
          <w:rFonts w:ascii="Consolas" w:cs="Consolas" w:eastAsia="Consolas" w:hAnsi="Consolas"/>
          <w:sz w:val="20"/>
          <w:szCs w:val="20"/>
        </w:rPr>
        <w:t xml:space="preserve">       SUM(ti.subtotal) AS total_revenue</w:t>
      </w:r>
    </w:p>
    <w:p>
      <w:pPr>
        <w:shd w:fill="F2F2F2" w:val="clear"/>
        <w:spacing w:after="0" w:line="240"/>
      </w:pPr>
      <w:r>
        <w:rPr>
          <w:rFonts w:ascii="Consolas" w:cs="Consolas" w:eastAsia="Consolas" w:hAnsi="Consolas"/>
          <w:sz w:val="20"/>
          <w:szCs w:val="20"/>
        </w:rPr>
        <w:t xml:space="preserve">FROM transaction_items ti</w:t>
      </w:r>
    </w:p>
    <w:p>
      <w:pPr>
        <w:shd w:fill="F2F2F2" w:val="clear"/>
        <w:spacing w:after="0" w:line="240"/>
      </w:pPr>
      <w:r>
        <w:rPr>
          <w:rFonts w:ascii="Consolas" w:cs="Consolas" w:eastAsia="Consolas" w:hAnsi="Consolas"/>
          <w:sz w:val="20"/>
          <w:szCs w:val="20"/>
        </w:rPr>
        <w:t xml:space="preserve">JOIN products p ON ti.product_id = p.product_id</w:t>
      </w:r>
    </w:p>
    <w:p>
      <w:pPr>
        <w:shd w:fill="F2F2F2" w:val="clear"/>
        <w:spacing w:after="0" w:line="240"/>
      </w:pPr>
      <w:r>
        <w:rPr>
          <w:rFonts w:ascii="Consolas" w:cs="Consolas" w:eastAsia="Consolas" w:hAnsi="Consolas"/>
          <w:sz w:val="20"/>
          <w:szCs w:val="20"/>
        </w:rPr>
        <w:t xml:space="preserve">JOIN categories c ON p.category_id = c.category_id</w:t>
      </w:r>
    </w:p>
    <w:p>
      <w:pPr>
        <w:shd w:fill="F2F2F2" w:val="clear"/>
        <w:spacing w:after="0" w:line="240"/>
      </w:pPr>
      <w:r>
        <w:rPr>
          <w:rFonts w:ascii="Consolas" w:cs="Consolas" w:eastAsia="Consolas" w:hAnsi="Consolas"/>
          <w:sz w:val="20"/>
          <w:szCs w:val="20"/>
        </w:rPr>
        <w:t xml:space="preserve">GROUP BY p.product_name, c.category_name</w:t>
      </w:r>
    </w:p>
    <w:p>
      <w:pPr>
        <w:shd w:fill="F2F2F2" w:val="clear"/>
        <w:spacing w:after="0" w:line="240"/>
      </w:pPr>
      <w:r>
        <w:rPr>
          <w:rFonts w:ascii="Consolas" w:cs="Consolas" w:eastAsia="Consolas" w:hAnsi="Consolas"/>
          <w:sz w:val="20"/>
          <w:szCs w:val="20"/>
        </w:rPr>
        <w:t xml:space="preserve">ORDER BY total_revenue DESC</w:t>
      </w:r>
    </w:p>
    <w:p>
      <w:pPr>
        <w:shd w:fill="F2F2F2" w:val="clear"/>
        <w:spacing w:after="0" w:line="240"/>
      </w:pPr>
      <w:r>
        <w:rPr>
          <w:rFonts w:ascii="Consolas" w:cs="Consolas" w:eastAsia="Consolas" w:hAnsi="Consolas"/>
          <w:sz w:val="20"/>
          <w:szCs w:val="20"/>
        </w:rPr>
        <w:t xml:space="preserve">LIMIT 10;</w:t>
      </w:r>
    </w:p>
    <w:p>
      <w:pPr>
        <w:spacing w:after="100"/>
      </w:pPr>
    </w:p>
    <w:p>
      <w:pPr>
        <w:spacing w:after="100"/>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2943225"/>
                    </a:xfrm>
                    <a:prstGeom prst="rect">
                      <a:avLst/>
                    </a:prstGeom>
                  </pic:spPr>
                </pic:pic>
              </a:graphicData>
            </a:graphic>
          </wp:inline>
        </w:drawing>
      </w:r>
    </w:p>
    <w:p>
      <w:pPr>
        <w:spacing w:after="250" w:line="360"/>
      </w:pPr>
      <w:r>
        <w:rPr>
          <w:rFonts w:ascii="Arial" w:cs="Arial" w:eastAsia="Arial" w:hAnsi="Arial"/>
          <w:i/>
          <w:iCs/>
          <w:sz w:val="20"/>
          <w:szCs w:val="20"/>
        </w:rPr>
        <w:t xml:space="preserve">Figure — Query 8 result, phpMyAdmin</w:t>
      </w:r>
    </w:p>
    <w:p>
      <w:pPr>
        <w:spacing w:after="200" w:line="360"/>
      </w:pPr>
      <w:r>
        <w:rPr>
          <w:rFonts w:ascii="Arial" w:cs="Arial" w:eastAsia="Arial" w:hAnsi="Arial"/>
          <w:sz w:val="22"/>
          <w:szCs w:val="22"/>
        </w:rPr>
        <w:t xml:space="preserve">Rice 25kg Sack (NFA) is the single highest-revenue product at ₱589,000, followed by San Miguel Beer (case) at ₱296,400, even though both sold the exact same number of units (380) — showing how much unit price alone can separate two products’ revenue contribution. Five of the ten top products belong to either Rice &amp; Staples or Frozen &amp; Dairy, which reinforces the category-level findings from Query 7 and helps the owner prioritize which specific items to always keep well-stocked.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d21225466a53aae8a0b124ffd478eb4d490888.png"/><Relationship Id="rId8" Type="http://schemas.openxmlformats.org/officeDocument/2006/relationships/image" Target="media/796f15c716b42fe16666f66ba136087c999aeeba.png"/><Relationship Id="rId9" Type="http://schemas.openxmlformats.org/officeDocument/2006/relationships/image" Target="media/22002fcd5ebb6a630540e6f79eacc5fb26a9d77d.png"/><Relationship Id="rId10" Type="http://schemas.openxmlformats.org/officeDocument/2006/relationships/image" Target="media/c04415ea6456c1c95258ded4727410d6f61a7ba3.png"/><Relationship Id="rId11" Type="http://schemas.openxmlformats.org/officeDocument/2006/relationships/image" Target="media/210ebfe6f5d6b1633d4d9d8dad29a295faf1b068.png"/><Relationship Id="rId12" Type="http://schemas.openxmlformats.org/officeDocument/2006/relationships/image" Target="media/21a46b4e89a53971146ac54827f8f4887c12dc28.png"/><Relationship Id="rId13" Type="http://schemas.openxmlformats.org/officeDocument/2006/relationships/image" Target="media/953413614453beff174a075ee73104f045ed173c.png"/><Relationship Id="rId14" Type="http://schemas.openxmlformats.org/officeDocument/2006/relationships/image" Target="media/afc8f3f8cb6d6122adde1241b6801e227b45b630.png"/><Relationship Id="rId15" Type="http://schemas.openxmlformats.org/officeDocument/2006/relationships/image" Target="media/7199fe8c04be710874cecf40cbdc6412ddc750cf.png"/><Relationship Id="rId16" Type="http://schemas.openxmlformats.org/officeDocument/2006/relationships/image" Target="media/60fbf7cb9d1e89c75cb368cb99a4ef5babd61499.png"/><Relationship Id="rId17" Type="http://schemas.openxmlformats.org/officeDocument/2006/relationships/image" Target="media/01ab5b3e95a5c8cfba0f50331245dbc97d41b6d1.png"/><Relationship Id="rId18" Type="http://schemas.openxmlformats.org/officeDocument/2006/relationships/image" Target="media/c06f4d1bb87a919f9a6fdd795f58356f02215786.png"/><Relationship Id="rId19" Type="http://schemas.openxmlformats.org/officeDocument/2006/relationships/image" Target="media/a53c179a4354868783e87e2f06b7c40d890ac723.png"/><Relationship Id="rId20" Type="http://schemas.openxmlformats.org/officeDocument/2006/relationships/fontTable" Target="fontTable.xml"/><Relationship Id="rId21" Type="http://schemas.openxmlformats.org/officeDocument/2006/relationships/image" Target="media/transactions_raw_preview.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2026-08-22T13:08:39.581Z</dcterms:created>
  <dcterms:modified xsi:type="dcterms:W3CDTF">2026-08-22T13:08:39.590Z</dcterms:modified>
</cp:coreProperties>
</file>

<file path=docProps/custom.xml><?xml version="1.0" encoding="utf-8"?>
<Properties xmlns="http://schemas.openxmlformats.org/officeDocument/2006/custom-properties" xmlns:vt="http://schemas.openxmlformats.org/officeDocument/2006/docPropsVTypes"/>
</file>